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81B2C00">
      <w:pPr>
        <w:widowControl w:val="0"/>
        <w:kinsoku/>
        <w:autoSpaceDE/>
        <w:autoSpaceDN/>
        <w:spacing w:line="600" w:lineRule="exact"/>
        <w:rPr>
          <w:rFonts w:ascii="Times New Roman" w:hAnsi="Times New Roman" w:eastAsia="黑体" w:cs="Times New Roman"/>
          <w:sz w:val="28"/>
          <w:szCs w:val="28"/>
          <w:lang w:eastAsia="zh-CN"/>
        </w:rPr>
      </w:pPr>
      <w:r>
        <w:rPr>
          <w:rFonts w:ascii="Times New Roman" w:hAnsi="Times New Roman" w:eastAsia="黑体" w:cs="Times New Roman"/>
          <w:sz w:val="28"/>
          <w:szCs w:val="28"/>
          <w:lang w:eastAsia="zh-CN"/>
        </w:rPr>
        <w:t>附件</w:t>
      </w:r>
      <w:r>
        <w:rPr>
          <w:rFonts w:hint="eastAsia" w:ascii="Times New Roman" w:hAnsi="Times New Roman" w:eastAsia="黑体" w:cs="Times New Roman"/>
          <w:sz w:val="28"/>
          <w:szCs w:val="28"/>
          <w:lang w:eastAsia="zh-CN"/>
        </w:rPr>
        <w:t>1</w:t>
      </w:r>
    </w:p>
    <w:p w14:paraId="5D76E8C0">
      <w:pPr>
        <w:widowControl w:val="0"/>
        <w:kinsoku/>
        <w:autoSpaceDE/>
        <w:autoSpaceDN/>
        <w:spacing w:after="156" w:afterLines="50" w:line="600" w:lineRule="exact"/>
        <w:jc w:val="center"/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</w:pPr>
      <w:bookmarkStart w:id="0" w:name="_GoBack"/>
      <w:r>
        <w:rPr>
          <w:rFonts w:hint="eastAsia" w:ascii="Times New Roman" w:hAnsi="Times New Roman" w:eastAsia="方正小标宋_GBK" w:cs="Times New Roman"/>
          <w:sz w:val="44"/>
          <w:szCs w:val="44"/>
          <w:lang w:eastAsia="zh-CN" w:bidi="ar"/>
        </w:rPr>
        <w:t>湖南省公共数据资源授权运营平台核心功能</w:t>
      </w:r>
      <w:r>
        <w:rPr>
          <w:rFonts w:hint="eastAsia" w:ascii="Times New Roman" w:hAnsi="Times New Roman" w:eastAsia="方正小标宋_GBK" w:cs="Times New Roman"/>
          <w:sz w:val="44"/>
          <w:szCs w:val="44"/>
          <w:lang w:eastAsia="zh" w:bidi="ar"/>
        </w:rPr>
        <w:t>清单</w:t>
      </w:r>
    </w:p>
    <w:bookmarkEnd w:id="0"/>
    <w:tbl>
      <w:tblPr>
        <w:tblStyle w:val="4"/>
        <w:tblW w:w="5082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89"/>
        <w:gridCol w:w="804"/>
        <w:gridCol w:w="1143"/>
        <w:gridCol w:w="11173"/>
      </w:tblGrid>
      <w:tr w14:paraId="38265AD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5" w:hRule="atLeast"/>
          <w:tblHeader/>
        </w:trPr>
        <w:tc>
          <w:tcPr>
            <w:tcW w:w="1289" w:type="dxa"/>
            <w:noWrap/>
            <w:vAlign w:val="center"/>
          </w:tcPr>
          <w:p w14:paraId="0A1EF0E6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  <w:lang w:bidi="ar"/>
              </w:rPr>
              <w:t>序号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178DCF0C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  <w:lang w:bidi="ar"/>
              </w:rPr>
              <w:t>功能模块名称</w:t>
            </w:r>
          </w:p>
        </w:tc>
        <w:tc>
          <w:tcPr>
            <w:tcW w:w="11173" w:type="dxa"/>
            <w:noWrap/>
            <w:vAlign w:val="center"/>
          </w:tcPr>
          <w:p w14:paraId="1D9C20C5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黑体" w:hAnsi="黑体" w:eastAsia="黑体" w:cs="Times New Roman"/>
              </w:rPr>
            </w:pPr>
            <w:r>
              <w:rPr>
                <w:rFonts w:hint="eastAsia" w:ascii="黑体" w:hAnsi="黑体" w:eastAsia="黑体" w:cs="Times New Roman"/>
                <w:lang w:bidi="ar"/>
              </w:rPr>
              <w:t>功能描述</w:t>
            </w:r>
          </w:p>
        </w:tc>
      </w:tr>
      <w:tr w14:paraId="215BF7C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89" w:type="dxa"/>
            <w:noWrap/>
            <w:vAlign w:val="center"/>
          </w:tcPr>
          <w:p w14:paraId="332AEA04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1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62B1D8B8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基础支撑能力</w:t>
            </w:r>
          </w:p>
        </w:tc>
        <w:tc>
          <w:tcPr>
            <w:tcW w:w="11173" w:type="dxa"/>
            <w:noWrap w:val="0"/>
            <w:vAlign w:val="center"/>
          </w:tcPr>
          <w:p w14:paraId="1B15F447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对接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省公共数据流通利用基础设施区域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功能节点，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面向全省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范围对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公共数据资源授权运营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相关用户主体、数据资源、数据产品、接入连接器、业务平台进行集中管理，提供统一身份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认证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、统一目录、统一标识的“三统一”服务，为跨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区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域、跨行业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数据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要素互联互通提供基础支撑能力。</w:t>
            </w:r>
          </w:p>
        </w:tc>
      </w:tr>
      <w:tr w14:paraId="53468E7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1289" w:type="dxa"/>
            <w:noWrap/>
            <w:vAlign w:val="center"/>
          </w:tcPr>
          <w:p w14:paraId="7A0AA891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2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6852B57E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授权运营管理</w:t>
            </w:r>
          </w:p>
        </w:tc>
        <w:tc>
          <w:tcPr>
            <w:tcW w:w="11173" w:type="dxa"/>
            <w:noWrap w:val="0"/>
            <w:vAlign w:val="center"/>
          </w:tcPr>
          <w:p w14:paraId="5691BF24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-CN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1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．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统一门户与信息服务：支持集中发布权威政策与动态信息，支持各主体按规定披露授权运营情况，并提供数据资源目录与数据产品的便捷查询入口。同时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支持用户在此提交数据需求，构建一体化公共服务窗口。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br w:type="textWrapping"/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2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．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备案及授权管理：为实施机构、运营机构提供在线备案及授权管理核心能力。支持其在线完成授权运营实施方案、运营机构、运营协议、产品与服务清单等关键环节的备案工作。</w:t>
            </w:r>
            <w:r>
              <w:rPr>
                <w:rFonts w:hint="eastAsia" w:ascii="Times New Roman" w:hAnsi="Times New Roman" w:eastAsia="方正书宋_GBK" w:cs="Times New Roman"/>
                <w:lang w:eastAsia="zh-CN"/>
              </w:rPr>
              <w:t xml:space="preserve"> 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br w:type="textWrapping"/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3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．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授权运营全流程管理：为实施机构、运营机构及其他经营主体提供专属工作台，实现对授权运营全生命周期的线上化协同管理，覆盖数据资源登记、授权、产品开发封装、安全合规审查、产品上架发布、流通订阅管理等核心环节，支撑各参与方依规高效完成业务审批与运营操作。</w:t>
            </w:r>
            <w:r>
              <w:rPr>
                <w:rFonts w:hint="eastAsia" w:ascii="Times New Roman" w:hAnsi="Times New Roman" w:eastAsia="方正书宋_GBK" w:cs="Times New Roman"/>
                <w:lang w:eastAsia="zh-CN"/>
              </w:rPr>
              <w:br w:type="textWrapping"/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4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．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运营监督：为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全省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数据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管理部门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及实施机构提供全景可视化的监管视图，实现对授权运营活动全过程动态监测、风险识别与成效评估。</w:t>
            </w:r>
          </w:p>
        </w:tc>
      </w:tr>
      <w:tr w14:paraId="61E100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5" w:hRule="atLeast"/>
        </w:trPr>
        <w:tc>
          <w:tcPr>
            <w:tcW w:w="1289" w:type="dxa"/>
            <w:vMerge w:val="restart"/>
            <w:noWrap/>
            <w:vAlign w:val="center"/>
          </w:tcPr>
          <w:p w14:paraId="149DFCBA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3</w:t>
            </w:r>
          </w:p>
        </w:tc>
        <w:tc>
          <w:tcPr>
            <w:tcW w:w="804" w:type="dxa"/>
            <w:vMerge w:val="restart"/>
            <w:noWrap/>
            <w:vAlign w:val="center"/>
          </w:tcPr>
          <w:p w14:paraId="199CD90A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安全可控开发利用环境</w:t>
            </w:r>
          </w:p>
        </w:tc>
        <w:tc>
          <w:tcPr>
            <w:tcW w:w="1143" w:type="dxa"/>
            <w:noWrap w:val="0"/>
            <w:vAlign w:val="center"/>
          </w:tcPr>
          <w:p w14:paraId="453B7E8D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集中式数据开发环境</w:t>
            </w:r>
          </w:p>
        </w:tc>
        <w:tc>
          <w:tcPr>
            <w:tcW w:w="11173" w:type="dxa"/>
            <w:noWrap w:val="0"/>
            <w:vAlign w:val="center"/>
          </w:tcPr>
          <w:p w14:paraId="0BE65404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1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．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数据资源接入与授权：兼容JDBC、FTP、API、Kafka等主流数据接入方式，提供可视化配置界面；支持基础数据预处理（格式转换、冗余过滤等）能力，配套接入异常告警与操作历史日志追溯功能，保障数据接入稳定可控。</w:t>
            </w:r>
          </w:p>
          <w:p w14:paraId="54809C70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2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．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数据质量检测与安全策略配置：支持自定义完整性、准确性、一致性等多维度数据质量规则，提供自动/手动双模式检测，支持批量数据检测与结果可视化展示，可自动生成结构化质量报告，助力数据质量闭环管理。支持自定义数据脱敏规则，配置数据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全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生命周期安全策略与数据分类分级标准，构建全流程数据安全防护体系。</w:t>
            </w:r>
          </w:p>
          <w:p w14:paraId="2E067058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3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．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数据产品开发：提供可视化SQL编辑器、Shell脚本开发环境，内置语法校验功能；集成数据查询、调试、试运行模块，支持实时查看执行结果，同时支持可视化流程配置与任务流水线管理。</w:t>
            </w:r>
          </w:p>
        </w:tc>
      </w:tr>
      <w:tr w14:paraId="6A9BA3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1" w:hRule="atLeast"/>
        </w:trPr>
        <w:tc>
          <w:tcPr>
            <w:tcW w:w="1289" w:type="dxa"/>
            <w:vMerge w:val="continue"/>
            <w:noWrap/>
            <w:vAlign w:val="center"/>
          </w:tcPr>
          <w:p w14:paraId="4FD04709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-CN"/>
              </w:rPr>
            </w:pPr>
          </w:p>
        </w:tc>
        <w:tc>
          <w:tcPr>
            <w:tcW w:w="804" w:type="dxa"/>
            <w:vMerge w:val="continue"/>
            <w:noWrap/>
            <w:vAlign w:val="center"/>
          </w:tcPr>
          <w:p w14:paraId="653EA8CD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"/>
              </w:rPr>
            </w:pPr>
          </w:p>
        </w:tc>
        <w:tc>
          <w:tcPr>
            <w:tcW w:w="1143" w:type="dxa"/>
            <w:noWrap w:val="0"/>
            <w:vAlign w:val="center"/>
          </w:tcPr>
          <w:p w14:paraId="72D8BF1F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可信数据空间</w:t>
            </w:r>
          </w:p>
        </w:tc>
        <w:tc>
          <w:tcPr>
            <w:tcW w:w="11173" w:type="dxa"/>
            <w:noWrap w:val="0"/>
            <w:vAlign w:val="center"/>
          </w:tcPr>
          <w:p w14:paraId="7C0157A7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spacing w:val="-2"/>
                <w:lang w:eastAsia="zh" w:bidi="ar"/>
              </w:rPr>
            </w:pPr>
            <w:r>
              <w:rPr>
                <w:rFonts w:hint="eastAsia" w:ascii="Times New Roman" w:hAnsi="Times New Roman" w:eastAsia="方正书宋_GBK" w:cs="Times New Roman"/>
                <w:spacing w:val="-2"/>
                <w:lang w:eastAsia="zh" w:bidi="ar"/>
              </w:rPr>
              <w:t>提供整体技术解决方案实现数据外循环过程中的“数据来源可确认、使用范围可界定、流通过程可追溯、安全风险可防范”。</w:t>
            </w:r>
          </w:p>
          <w:p w14:paraId="79F6C68E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1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．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接入连接器管理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面向可信数据空间中的接入连接器提供注册、核验等服务。</w:t>
            </w:r>
          </w:p>
          <w:p w14:paraId="0B12E0F4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2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．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数字合约管理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支持数据提供方、使用方完成供需撮合及数字合约的创建、协商、签署。</w:t>
            </w:r>
          </w:p>
          <w:p w14:paraId="4F3B9FC1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3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．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数据使用控制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支持数据提供方、数据使用方利用平台提供的能力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，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按照数字合约要求控制数据的使用。</w:t>
            </w:r>
          </w:p>
          <w:p w14:paraId="40EBCE2D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4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．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可信数据空间管理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支持面向数据流通利用场景，创建包含特定参与主体，数据资源及使用控制策略的逻辑可信数据空间，相关参与方可设置数据产品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和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服务仅该空间的参与方可见、可用。</w:t>
            </w:r>
          </w:p>
          <w:p w14:paraId="01045D5C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5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．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数据产品开发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提供以隐私保护计算技术为基础的分布式数据产品开发能力，实现数据外循环过程中的“原始数据不出域，数据可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用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不可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见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”。</w:t>
            </w:r>
          </w:p>
          <w:p w14:paraId="6307FE3F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-CN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6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．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存证审计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：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记录存证可信数据空间的业务执行、系统运行的日志，并提供审计服务。</w:t>
            </w:r>
          </w:p>
        </w:tc>
      </w:tr>
      <w:tr w14:paraId="768B42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89" w:type="dxa"/>
            <w:noWrap/>
            <w:vAlign w:val="center"/>
          </w:tcPr>
          <w:p w14:paraId="0F4778CE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4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058D356D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存算资源服务</w:t>
            </w:r>
          </w:p>
        </w:tc>
        <w:tc>
          <w:tcPr>
            <w:tcW w:w="11173" w:type="dxa"/>
            <w:noWrap w:val="0"/>
            <w:vAlign w:val="center"/>
          </w:tcPr>
          <w:p w14:paraId="4B1D5B05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构建安全可靠、稳定高效的存算资源底座，为公共数据资源授权运营各级实施机构、运营机构、</w:t>
            </w:r>
            <w:r>
              <w:rPr>
                <w:rFonts w:hint="eastAsia" w:ascii="Times New Roman" w:hAnsi="Times New Roman" w:eastAsia="方正书宋_GBK" w:cs="Times New Roman"/>
                <w:lang w:eastAsia="zh-CN" w:bidi="ar"/>
              </w:rPr>
              <w:t>其他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经营主体提供数据汇聚治理、开发利用的计算、存储、网络等基础资源服务。</w:t>
            </w:r>
          </w:p>
        </w:tc>
      </w:tr>
      <w:tr w14:paraId="50316F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4" w:hRule="atLeast"/>
        </w:trPr>
        <w:tc>
          <w:tcPr>
            <w:tcW w:w="1289" w:type="dxa"/>
            <w:noWrap/>
            <w:vAlign w:val="center"/>
          </w:tcPr>
          <w:p w14:paraId="1116342A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bidi="ar"/>
              </w:rPr>
            </w:pPr>
            <w:r>
              <w:rPr>
                <w:rFonts w:hint="eastAsia" w:ascii="Times New Roman" w:hAnsi="Times New Roman" w:eastAsia="方正书宋_GBK" w:cs="Times New Roman"/>
                <w:lang w:bidi="ar"/>
              </w:rPr>
              <w:t>5</w:t>
            </w:r>
          </w:p>
        </w:tc>
        <w:tc>
          <w:tcPr>
            <w:tcW w:w="1947" w:type="dxa"/>
            <w:gridSpan w:val="2"/>
            <w:noWrap/>
            <w:vAlign w:val="center"/>
          </w:tcPr>
          <w:p w14:paraId="17F67ADF">
            <w:pPr>
              <w:widowControl w:val="0"/>
              <w:kinsoku/>
              <w:autoSpaceDE/>
              <w:autoSpaceDN/>
              <w:spacing w:line="360" w:lineRule="exact"/>
              <w:jc w:val="center"/>
              <w:textAlignment w:val="center"/>
              <w:rPr>
                <w:rFonts w:hint="eastAsia" w:ascii="Times New Roman" w:hAnsi="Times New Roman" w:eastAsia="方正书宋_GBK" w:cs="Times New Roman"/>
                <w:lang w:eastAsia="zh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数据</w:t>
            </w:r>
            <w:r>
              <w:rPr>
                <w:rFonts w:hint="eastAsia" w:ascii="Times New Roman" w:hAnsi="Times New Roman" w:eastAsia="方正书宋_GBK" w:cs="Times New Roman"/>
                <w:lang w:bidi="ar"/>
              </w:rPr>
              <w:t>安全防护</w:t>
            </w: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 xml:space="preserve">                                                                                                 </w:t>
            </w:r>
          </w:p>
        </w:tc>
        <w:tc>
          <w:tcPr>
            <w:tcW w:w="11173" w:type="dxa"/>
            <w:noWrap w:val="0"/>
            <w:vAlign w:val="center"/>
          </w:tcPr>
          <w:p w14:paraId="5820E694">
            <w:pPr>
              <w:widowControl w:val="0"/>
              <w:kinsoku/>
              <w:autoSpaceDE/>
              <w:autoSpaceDN/>
              <w:spacing w:line="360" w:lineRule="exact"/>
              <w:jc w:val="both"/>
              <w:textAlignment w:val="center"/>
              <w:rPr>
                <w:rFonts w:hint="eastAsia" w:ascii="Times New Roman" w:hAnsi="Times New Roman" w:eastAsia="方正书宋_GBK" w:cs="Times New Roman"/>
                <w:lang w:eastAsia="zh" w:bidi="ar"/>
              </w:rPr>
            </w:pPr>
            <w:r>
              <w:rPr>
                <w:rFonts w:hint="eastAsia" w:ascii="Times New Roman" w:hAnsi="Times New Roman" w:eastAsia="方正书宋_GBK" w:cs="Times New Roman"/>
                <w:lang w:eastAsia="zh" w:bidi="ar"/>
              </w:rPr>
              <w:t>具备运维安全管理、攻击入侵防护、安全日志审计、API安全监测、数据加密、数据脱敏、数据水印、数据防泄露、数据安全态势感知等完备的网络、数据、应用安全保护能力。</w:t>
            </w:r>
          </w:p>
        </w:tc>
      </w:tr>
    </w:tbl>
    <w:p w14:paraId="4114D858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CE0B53A-A27C-4806-929E-AE562EB7A312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2" w:fontKey="{BF8DDBC5-98D2-435D-AF4F-3AF4D0A249FC}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3" w:fontKey="{C5525461-58AA-43A3-9A71-0BB458888A04}"/>
  </w:font>
  <w:font w:name="方正书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4" w:fontKey="{41DDA86F-5552-4F67-871A-DCF1546B4D0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0C17DFE"/>
    <w:rsid w:val="60C17D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qFormat="1"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insoku w:val="0"/>
      <w:autoSpaceDE w:val="0"/>
      <w:autoSpaceDN w:val="0"/>
      <w:adjustRightInd w:val="0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a heading"/>
    <w:next w:val="1"/>
    <w:qFormat/>
    <w:uiPriority w:val="0"/>
    <w:pPr>
      <w:kinsoku w:val="0"/>
      <w:autoSpaceDE w:val="0"/>
      <w:autoSpaceDN w:val="0"/>
      <w:adjustRightInd w:val="0"/>
      <w:spacing w:before="120"/>
    </w:pPr>
    <w:rPr>
      <w:rFonts w:ascii="Arial" w:hAnsi="Arial" w:eastAsia="Arial" w:cs="Arial"/>
      <w:snapToGrid w:val="0"/>
      <w:color w:val="000000"/>
      <w:sz w:val="24"/>
      <w:szCs w:val="21"/>
      <w:lang w:val="en-US" w:eastAsia="en-US" w:bidi="ar-SA"/>
    </w:rPr>
  </w:style>
  <w:style w:type="paragraph" w:styleId="3">
    <w:name w:val="header"/>
    <w:qFormat/>
    <w:uiPriority w:val="0"/>
    <w:pPr>
      <w:tabs>
        <w:tab w:val="center" w:pos="4140"/>
        <w:tab w:val="right" w:pos="8300"/>
      </w:tabs>
      <w:kinsoku w:val="0"/>
      <w:autoSpaceDE w:val="0"/>
      <w:autoSpaceDN w:val="0"/>
      <w:adjustRightInd w:val="0"/>
      <w:spacing w:before="0" w:after="0"/>
      <w:ind w:left="0" w:right="0"/>
      <w:jc w:val="center"/>
    </w:pPr>
    <w:rPr>
      <w:rFonts w:ascii="Arial" w:hAnsi="Arial" w:eastAsia="Arial" w:cs="Arial"/>
      <w:snapToGrid w:val="0"/>
      <w:color w:val="000000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2026-03-31T07:48:00Z</dcterms:created>
  <dc:creator>政务中心</dc:creator>
  <cp:lastModifiedBy>政务中心</cp:lastModifiedBy>
  <dcterms:modified xsi:type="dcterms:W3CDTF">2026-03-31T07:50:13Z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871A84CC21A14A018B2CB1601B27D4C6_11</vt:lpwstr>
  </property>
  <property fmtid="{D5CDD505-2E9C-101B-9397-08002B2CF9AE}" pid="4" name="KSOTemplateDocerSaveRecord">
    <vt:lpwstr>eyJoZGlkIjoiYWIzZGZjZmY1MTI2ZjlhNTI0MDBhZjdhYTQ0MDQyMmYiLCJ1c2VySWQiOiIxNjk3MDc5NDkwIn0=</vt:lpwstr>
  </property>
</Properties>
</file>