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600" w:lineRule="exact"/>
        <w:jc w:val="left"/>
        <w:rPr>
          <w:rFonts w:eastAsia="方正小标宋_GBK"/>
          <w:sz w:val="32"/>
          <w:szCs w:val="32"/>
        </w:rPr>
      </w:pPr>
      <w:r>
        <w:rPr>
          <w:rFonts w:hint="eastAsia" w:eastAsia="方正小标宋_GBK"/>
          <w:sz w:val="32"/>
          <w:szCs w:val="32"/>
        </w:rPr>
        <w:t>HNPR—2025—01019</w:t>
      </w:r>
    </w:p>
    <w:p>
      <w:pPr>
        <w:overflowPunct w:val="0"/>
        <w:spacing w:line="660" w:lineRule="exact"/>
        <w:jc w:val="center"/>
        <w:rPr>
          <w:rFonts w:eastAsia="方正小标宋_GBK"/>
          <w:sz w:val="44"/>
          <w:szCs w:val="44"/>
        </w:rPr>
      </w:pPr>
    </w:p>
    <w:p>
      <w:pPr>
        <w:overflowPunct w:val="0"/>
        <w:spacing w:line="660" w:lineRule="exact"/>
        <w:jc w:val="center"/>
        <w:rPr>
          <w:rFonts w:eastAsia="方正小标宋_GBK"/>
          <w:sz w:val="44"/>
          <w:szCs w:val="44"/>
        </w:rPr>
      </w:pPr>
      <w:r>
        <w:rPr>
          <w:rFonts w:eastAsia="方正小标宋_GBK"/>
          <w:sz w:val="44"/>
          <w:szCs w:val="44"/>
        </w:rPr>
        <w:t>湖南省人民政府办公厅</w:t>
      </w:r>
    </w:p>
    <w:p>
      <w:pPr>
        <w:overflowPunct w:val="0"/>
        <w:spacing w:line="660" w:lineRule="exact"/>
        <w:jc w:val="center"/>
        <w:rPr>
          <w:rFonts w:eastAsia="方正小标宋_GBK"/>
          <w:spacing w:val="-11"/>
          <w:sz w:val="44"/>
          <w:szCs w:val="44"/>
        </w:rPr>
      </w:pPr>
      <w:r>
        <w:rPr>
          <w:rFonts w:eastAsia="方正小标宋_GBK"/>
          <w:spacing w:val="-11"/>
          <w:sz w:val="44"/>
          <w:szCs w:val="44"/>
        </w:rPr>
        <w:t>关于印发《湖南省加快提升新能源汽车渗透率</w:t>
      </w:r>
      <w:bookmarkStart w:id="0" w:name="_GoBack"/>
      <w:bookmarkEnd w:id="0"/>
    </w:p>
    <w:p>
      <w:pPr>
        <w:overflowPunct w:val="0"/>
        <w:spacing w:line="660" w:lineRule="exact"/>
        <w:jc w:val="center"/>
        <w:rPr>
          <w:rFonts w:eastAsia="方正小标宋_GBK"/>
          <w:spacing w:val="-11"/>
          <w:sz w:val="44"/>
          <w:szCs w:val="44"/>
        </w:rPr>
      </w:pPr>
      <w:r>
        <w:rPr>
          <w:rFonts w:eastAsia="方正小标宋_GBK"/>
          <w:spacing w:val="-11"/>
          <w:sz w:val="44"/>
          <w:szCs w:val="44"/>
        </w:rPr>
        <w:t>行动计划（2025</w:t>
      </w:r>
      <w:r>
        <w:rPr>
          <w:rFonts w:hint="eastAsia" w:eastAsia="仿宋_GB2312"/>
          <w:sz w:val="44"/>
          <w:szCs w:val="44"/>
        </w:rPr>
        <w:t>—</w:t>
      </w:r>
      <w:r>
        <w:rPr>
          <w:rFonts w:eastAsia="方正小标宋_GBK"/>
          <w:spacing w:val="-11"/>
          <w:sz w:val="44"/>
          <w:szCs w:val="44"/>
        </w:rPr>
        <w:t>2026年）》的通知</w:t>
      </w:r>
    </w:p>
    <w:p>
      <w:pPr>
        <w:pStyle w:val="13"/>
        <w:autoSpaceDN w:val="0"/>
        <w:snapToGrid w:val="0"/>
        <w:spacing w:line="600" w:lineRule="atLeas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湘政办发〔2025〕3</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号</w:t>
      </w:r>
    </w:p>
    <w:p>
      <w:pPr>
        <w:overflowPunct w:val="0"/>
        <w:spacing w:line="660" w:lineRule="exact"/>
        <w:rPr>
          <w:rFonts w:eastAsia="仿宋_GB2312"/>
          <w:sz w:val="44"/>
          <w:szCs w:val="44"/>
        </w:rPr>
      </w:pPr>
    </w:p>
    <w:p>
      <w:pPr>
        <w:spacing w:line="660" w:lineRule="exact"/>
        <w:rPr>
          <w:rFonts w:eastAsia="仿宋_GB2312"/>
          <w:sz w:val="32"/>
          <w:szCs w:val="32"/>
        </w:rPr>
      </w:pPr>
      <w:r>
        <w:rPr>
          <w:rFonts w:eastAsia="仿宋_GB2312"/>
          <w:sz w:val="32"/>
          <w:szCs w:val="32"/>
        </w:rPr>
        <w:t>各市州、县</w:t>
      </w:r>
      <w:r>
        <w:rPr>
          <w:rFonts w:hint="eastAsia" w:eastAsia="仿宋_GB2312"/>
          <w:sz w:val="32"/>
          <w:szCs w:val="32"/>
        </w:rPr>
        <w:t>市区</w:t>
      </w:r>
      <w:r>
        <w:rPr>
          <w:rFonts w:eastAsia="仿宋_GB2312"/>
          <w:sz w:val="32"/>
          <w:szCs w:val="32"/>
        </w:rPr>
        <w:t>人民政府，省政府各厅委、各直属机构：</w:t>
      </w:r>
    </w:p>
    <w:p>
      <w:pPr>
        <w:spacing w:line="660" w:lineRule="exact"/>
        <w:ind w:firstLine="640" w:firstLineChars="200"/>
        <w:rPr>
          <w:rFonts w:eastAsia="仿宋_GB2312"/>
          <w:sz w:val="32"/>
          <w:szCs w:val="32"/>
        </w:rPr>
      </w:pPr>
      <w:r>
        <w:rPr>
          <w:rFonts w:eastAsia="仿宋_GB2312"/>
          <w:sz w:val="32"/>
          <w:szCs w:val="32"/>
        </w:rPr>
        <w:t>《湖南省加快提升新能源汽车渗透率行动计划（2025</w:t>
      </w:r>
      <w:r>
        <w:rPr>
          <w:rFonts w:hint="eastAsia" w:eastAsia="仿宋_GB2312"/>
          <w:sz w:val="32"/>
          <w:szCs w:val="32"/>
        </w:rPr>
        <w:t>—</w:t>
      </w:r>
      <w:r>
        <w:rPr>
          <w:rFonts w:eastAsia="仿宋_GB2312"/>
          <w:sz w:val="32"/>
          <w:szCs w:val="32"/>
        </w:rPr>
        <w:t>2026年）》已经省人民政府同意，现印发给你们，请结合实际认真贯彻执行。</w:t>
      </w:r>
    </w:p>
    <w:p>
      <w:pPr>
        <w:spacing w:line="660" w:lineRule="exact"/>
        <w:ind w:firstLine="640" w:firstLineChars="200"/>
        <w:rPr>
          <w:rFonts w:eastAsia="仿宋_GB2312"/>
          <w:sz w:val="32"/>
          <w:szCs w:val="32"/>
        </w:rPr>
      </w:pPr>
    </w:p>
    <w:p>
      <w:pPr>
        <w:overflowPunct w:val="0"/>
        <w:spacing w:line="660" w:lineRule="exact"/>
        <w:ind w:firstLine="640" w:firstLineChars="200"/>
        <w:rPr>
          <w:rFonts w:eastAsia="仿宋_GB2312"/>
          <w:sz w:val="32"/>
          <w:szCs w:val="32"/>
        </w:rPr>
      </w:pPr>
    </w:p>
    <w:p>
      <w:pPr>
        <w:overflowPunct w:val="0"/>
        <w:spacing w:line="660" w:lineRule="exact"/>
        <w:jc w:val="right"/>
        <w:rPr>
          <w:rFonts w:eastAsia="仿宋_GB2312"/>
          <w:bCs/>
          <w:color w:val="000000"/>
          <w:kern w:val="0"/>
          <w:sz w:val="32"/>
          <w:szCs w:val="32"/>
        </w:rPr>
      </w:pPr>
      <w:r>
        <w:rPr>
          <w:rFonts w:eastAsia="仿宋_GB2312"/>
          <w:bCs/>
          <w:color w:val="000000"/>
          <w:kern w:val="0"/>
          <w:sz w:val="32"/>
          <w:szCs w:val="32"/>
        </w:rPr>
        <w:t>湖南省人民政府办公厅</w:t>
      </w:r>
    </w:p>
    <w:p>
      <w:pPr>
        <w:overflowPunct w:val="0"/>
        <w:spacing w:line="660" w:lineRule="exact"/>
        <w:jc w:val="right"/>
        <w:rPr>
          <w:rFonts w:eastAsia="仿宋_GB2312"/>
          <w:bCs/>
          <w:color w:val="000000"/>
          <w:kern w:val="0"/>
          <w:sz w:val="32"/>
          <w:szCs w:val="32"/>
        </w:rPr>
      </w:pPr>
      <w:r>
        <w:rPr>
          <w:rFonts w:hint="eastAsia" w:eastAsia="仿宋_GB2312"/>
          <w:bCs/>
          <w:color w:val="000000"/>
          <w:kern w:val="0"/>
          <w:sz w:val="32"/>
          <w:szCs w:val="32"/>
        </w:rPr>
        <w:t xml:space="preserve">                   </w:t>
      </w:r>
      <w:r>
        <w:rPr>
          <w:rFonts w:eastAsia="仿宋_GB2312"/>
          <w:bCs/>
          <w:color w:val="000000"/>
          <w:kern w:val="0"/>
          <w:sz w:val="32"/>
          <w:szCs w:val="32"/>
        </w:rPr>
        <w:t>2025年</w:t>
      </w:r>
      <w:r>
        <w:rPr>
          <w:rFonts w:hint="eastAsia" w:eastAsia="仿宋_GB2312"/>
          <w:bCs/>
          <w:color w:val="000000"/>
          <w:kern w:val="0"/>
          <w:sz w:val="32"/>
          <w:szCs w:val="32"/>
        </w:rPr>
        <w:t>9</w:t>
      </w:r>
      <w:r>
        <w:rPr>
          <w:rFonts w:eastAsia="仿宋_GB2312"/>
          <w:bCs/>
          <w:color w:val="000000"/>
          <w:kern w:val="0"/>
          <w:sz w:val="32"/>
          <w:szCs w:val="32"/>
        </w:rPr>
        <w:t>月</w:t>
      </w:r>
      <w:r>
        <w:rPr>
          <w:rFonts w:hint="eastAsia" w:eastAsia="仿宋_GB2312"/>
          <w:bCs/>
          <w:color w:val="000000"/>
          <w:kern w:val="0"/>
          <w:sz w:val="32"/>
          <w:szCs w:val="32"/>
        </w:rPr>
        <w:t>26</w:t>
      </w:r>
      <w:r>
        <w:rPr>
          <w:rFonts w:eastAsia="仿宋_GB2312"/>
          <w:bCs/>
          <w:color w:val="000000"/>
          <w:kern w:val="0"/>
          <w:sz w:val="32"/>
          <w:szCs w:val="32"/>
        </w:rPr>
        <w:t>日</w:t>
      </w:r>
    </w:p>
    <w:p>
      <w:pPr>
        <w:spacing w:line="660" w:lineRule="exact"/>
        <w:ind w:firstLine="640" w:firstLineChars="200"/>
        <w:rPr>
          <w:rFonts w:eastAsia="仿宋_GB2312"/>
          <w:bCs/>
          <w:color w:val="000000"/>
          <w:kern w:val="0"/>
          <w:sz w:val="32"/>
          <w:szCs w:val="32"/>
        </w:rPr>
      </w:pPr>
      <w:r>
        <w:rPr>
          <w:rFonts w:eastAsia="仿宋_GB2312"/>
          <w:bCs/>
          <w:color w:val="000000"/>
          <w:kern w:val="0"/>
          <w:sz w:val="32"/>
          <w:szCs w:val="32"/>
        </w:rPr>
        <w:t>（此件主动公开）</w:t>
      </w:r>
    </w:p>
    <w:p>
      <w:pPr>
        <w:spacing w:line="660" w:lineRule="exact"/>
        <w:jc w:val="center"/>
        <w:rPr>
          <w:rFonts w:eastAsia="仿宋_GB2312"/>
          <w:bCs/>
          <w:color w:val="000000"/>
          <w:kern w:val="0"/>
          <w:sz w:val="32"/>
          <w:szCs w:val="32"/>
        </w:rPr>
      </w:pPr>
      <w:r>
        <w:rPr>
          <w:rFonts w:eastAsia="仿宋_GB2312"/>
          <w:bCs/>
          <w:color w:val="000000"/>
          <w:kern w:val="0"/>
          <w:sz w:val="32"/>
          <w:szCs w:val="32"/>
        </w:rPr>
        <w:br w:type="page"/>
      </w:r>
    </w:p>
    <w:p>
      <w:pPr>
        <w:spacing w:line="660" w:lineRule="exact"/>
        <w:jc w:val="center"/>
        <w:rPr>
          <w:rFonts w:eastAsia="方正小标宋_GBK"/>
          <w:sz w:val="32"/>
          <w:szCs w:val="32"/>
        </w:rPr>
      </w:pPr>
    </w:p>
    <w:p>
      <w:pPr>
        <w:spacing w:line="660" w:lineRule="exact"/>
        <w:jc w:val="center"/>
        <w:rPr>
          <w:rFonts w:eastAsia="方正小标宋_GBK"/>
          <w:sz w:val="44"/>
          <w:szCs w:val="44"/>
        </w:rPr>
      </w:pPr>
      <w:r>
        <w:rPr>
          <w:rFonts w:eastAsia="方正小标宋_GBK"/>
          <w:sz w:val="44"/>
          <w:szCs w:val="44"/>
        </w:rPr>
        <w:t>湖南省</w:t>
      </w:r>
      <w:r>
        <w:rPr>
          <w:rFonts w:hint="eastAsia" w:eastAsia="方正小标宋_GBK"/>
          <w:sz w:val="44"/>
          <w:szCs w:val="44"/>
        </w:rPr>
        <w:t>加快提升</w:t>
      </w:r>
      <w:r>
        <w:rPr>
          <w:rFonts w:eastAsia="方正小标宋_GBK"/>
          <w:sz w:val="44"/>
          <w:szCs w:val="44"/>
        </w:rPr>
        <w:t>新能源汽车</w:t>
      </w:r>
      <w:r>
        <w:rPr>
          <w:rFonts w:hint="eastAsia" w:eastAsia="方正小标宋_GBK"/>
          <w:sz w:val="44"/>
          <w:szCs w:val="44"/>
        </w:rPr>
        <w:t>渗透率</w:t>
      </w:r>
    </w:p>
    <w:p>
      <w:pPr>
        <w:spacing w:line="660" w:lineRule="exact"/>
        <w:jc w:val="center"/>
        <w:rPr>
          <w:rFonts w:eastAsia="方正小标宋_GBK"/>
          <w:sz w:val="44"/>
          <w:szCs w:val="44"/>
        </w:rPr>
      </w:pPr>
      <w:r>
        <w:rPr>
          <w:rFonts w:hint="eastAsia" w:eastAsia="方正小标宋_GBK"/>
          <w:sz w:val="44"/>
          <w:szCs w:val="44"/>
        </w:rPr>
        <w:t>行动计划（2</w:t>
      </w:r>
      <w:r>
        <w:rPr>
          <w:rFonts w:eastAsia="方正小标宋_GBK"/>
          <w:sz w:val="44"/>
          <w:szCs w:val="44"/>
        </w:rPr>
        <w:t>025</w:t>
      </w:r>
      <w:r>
        <w:rPr>
          <w:rFonts w:hint="eastAsia" w:eastAsia="仿宋_GB2312"/>
          <w:sz w:val="44"/>
          <w:szCs w:val="44"/>
        </w:rPr>
        <w:t>—</w:t>
      </w:r>
      <w:r>
        <w:rPr>
          <w:rFonts w:eastAsia="方正小标宋_GBK"/>
          <w:sz w:val="44"/>
          <w:szCs w:val="44"/>
        </w:rPr>
        <w:t>2026年</w:t>
      </w:r>
      <w:r>
        <w:rPr>
          <w:rFonts w:hint="eastAsia" w:eastAsia="方正小标宋_GBK"/>
          <w:sz w:val="44"/>
          <w:szCs w:val="44"/>
        </w:rPr>
        <w:t>）</w:t>
      </w:r>
    </w:p>
    <w:p>
      <w:pPr>
        <w:spacing w:line="660" w:lineRule="exact"/>
        <w:ind w:firstLine="640" w:firstLineChars="200"/>
        <w:jc w:val="left"/>
        <w:rPr>
          <w:rFonts w:eastAsia="仿宋_GB2312"/>
          <w:sz w:val="32"/>
          <w:szCs w:val="32"/>
        </w:rPr>
      </w:pPr>
    </w:p>
    <w:p>
      <w:pPr>
        <w:spacing w:line="660" w:lineRule="exact"/>
        <w:ind w:firstLine="640" w:firstLineChars="200"/>
        <w:rPr>
          <w:rFonts w:eastAsia="仿宋_GB2312"/>
          <w:sz w:val="32"/>
          <w:szCs w:val="32"/>
        </w:rPr>
      </w:pPr>
      <w:r>
        <w:rPr>
          <w:rFonts w:hint="eastAsia" w:eastAsia="仿宋_GB2312"/>
          <w:sz w:val="32"/>
          <w:szCs w:val="32"/>
        </w:rPr>
        <w:t>为深入贯彻落实省委、省人民政府决策部署，大力推广应用新能源汽车，加快提升全省新能源汽车渗透率，促进新能源汽车产业优化升级，有效改善空气质量，加强生态文明建设，制定本行动计划。</w:t>
      </w:r>
    </w:p>
    <w:p>
      <w:pPr>
        <w:spacing w:line="660" w:lineRule="exact"/>
        <w:ind w:firstLine="640" w:firstLineChars="200"/>
        <w:rPr>
          <w:rFonts w:eastAsia="黑体"/>
          <w:sz w:val="32"/>
          <w:szCs w:val="32"/>
        </w:rPr>
      </w:pPr>
      <w:r>
        <w:rPr>
          <w:rFonts w:eastAsia="黑体"/>
          <w:sz w:val="32"/>
          <w:szCs w:val="32"/>
        </w:rPr>
        <w:t>一、</w:t>
      </w:r>
      <w:r>
        <w:rPr>
          <w:rFonts w:hint="eastAsia" w:eastAsia="黑体"/>
          <w:sz w:val="32"/>
          <w:szCs w:val="32"/>
        </w:rPr>
        <w:t>行动</w:t>
      </w:r>
      <w:r>
        <w:rPr>
          <w:rFonts w:eastAsia="黑体"/>
          <w:sz w:val="32"/>
          <w:szCs w:val="32"/>
        </w:rPr>
        <w:t>目标</w:t>
      </w:r>
    </w:p>
    <w:p>
      <w:pPr>
        <w:spacing w:line="660" w:lineRule="exact"/>
        <w:ind w:firstLine="640" w:firstLineChars="200"/>
        <w:rPr>
          <w:rFonts w:eastAsia="仿宋_GB2312"/>
          <w:sz w:val="32"/>
          <w:szCs w:val="32"/>
        </w:rPr>
      </w:pPr>
      <w:r>
        <w:rPr>
          <w:rFonts w:eastAsia="仿宋_GB2312"/>
          <w:sz w:val="32"/>
          <w:szCs w:val="32"/>
        </w:rPr>
        <w:t>到2025年底</w:t>
      </w:r>
      <w:r>
        <w:rPr>
          <w:rFonts w:hint="eastAsia" w:eastAsia="仿宋_GB2312"/>
          <w:sz w:val="32"/>
          <w:szCs w:val="32"/>
        </w:rPr>
        <w:t>，</w:t>
      </w:r>
      <w:r>
        <w:rPr>
          <w:rFonts w:eastAsia="仿宋_GB2312"/>
          <w:sz w:val="32"/>
          <w:szCs w:val="32"/>
        </w:rPr>
        <w:t>全省新能源</w:t>
      </w:r>
      <w:r>
        <w:rPr>
          <w:rFonts w:hint="eastAsia" w:eastAsia="仿宋_GB2312"/>
          <w:sz w:val="32"/>
          <w:szCs w:val="32"/>
        </w:rPr>
        <w:t>汽车</w:t>
      </w:r>
      <w:r>
        <w:rPr>
          <w:rFonts w:eastAsia="仿宋_GB2312"/>
          <w:sz w:val="32"/>
          <w:szCs w:val="32"/>
        </w:rPr>
        <w:t>渗透率与全国平均</w:t>
      </w:r>
      <w:r>
        <w:rPr>
          <w:rFonts w:hint="eastAsia" w:eastAsia="仿宋_GB2312"/>
          <w:sz w:val="32"/>
          <w:szCs w:val="32"/>
        </w:rPr>
        <w:t>水平</w:t>
      </w:r>
      <w:r>
        <w:rPr>
          <w:rFonts w:eastAsia="仿宋_GB2312"/>
          <w:sz w:val="32"/>
          <w:szCs w:val="32"/>
        </w:rPr>
        <w:t>差距</w:t>
      </w:r>
      <w:r>
        <w:rPr>
          <w:rFonts w:hint="eastAsia" w:eastAsia="仿宋_GB2312"/>
          <w:sz w:val="32"/>
          <w:szCs w:val="32"/>
        </w:rPr>
        <w:t>缩小至</w:t>
      </w:r>
      <w:r>
        <w:rPr>
          <w:rFonts w:eastAsia="仿宋_GB2312"/>
          <w:sz w:val="32"/>
          <w:szCs w:val="32"/>
        </w:rPr>
        <w:t>6%</w:t>
      </w:r>
      <w:r>
        <w:rPr>
          <w:rFonts w:hint="eastAsia" w:eastAsia="仿宋_GB2312"/>
          <w:sz w:val="32"/>
          <w:szCs w:val="32"/>
        </w:rPr>
        <w:t>以内；</w:t>
      </w:r>
      <w:r>
        <w:rPr>
          <w:rFonts w:eastAsia="仿宋_GB2312"/>
          <w:sz w:val="32"/>
          <w:szCs w:val="32"/>
        </w:rPr>
        <w:t>到202</w:t>
      </w:r>
      <w:r>
        <w:rPr>
          <w:rFonts w:hint="eastAsia" w:eastAsia="仿宋_GB2312"/>
          <w:sz w:val="32"/>
          <w:szCs w:val="32"/>
        </w:rPr>
        <w:t>6</w:t>
      </w:r>
      <w:r>
        <w:rPr>
          <w:rFonts w:eastAsia="仿宋_GB2312"/>
          <w:sz w:val="32"/>
          <w:szCs w:val="32"/>
        </w:rPr>
        <w:t>年底</w:t>
      </w:r>
      <w:r>
        <w:rPr>
          <w:rFonts w:hint="eastAsia" w:eastAsia="仿宋_GB2312"/>
          <w:sz w:val="32"/>
          <w:szCs w:val="32"/>
        </w:rPr>
        <w:t>，全省新能源汽车</w:t>
      </w:r>
      <w:r>
        <w:rPr>
          <w:rFonts w:eastAsia="仿宋_GB2312"/>
          <w:sz w:val="32"/>
          <w:szCs w:val="32"/>
        </w:rPr>
        <w:t>渗透率</w:t>
      </w:r>
      <w:r>
        <w:rPr>
          <w:rFonts w:hint="eastAsia" w:eastAsia="仿宋_GB2312"/>
          <w:sz w:val="32"/>
          <w:szCs w:val="32"/>
        </w:rPr>
        <w:t>争取达到</w:t>
      </w:r>
      <w:r>
        <w:rPr>
          <w:rFonts w:eastAsia="仿宋_GB2312"/>
          <w:sz w:val="32"/>
          <w:szCs w:val="32"/>
        </w:rPr>
        <w:t>全国平均水平。</w:t>
      </w:r>
    </w:p>
    <w:p>
      <w:pPr>
        <w:numPr>
          <w:ilvl w:val="0"/>
          <w:numId w:val="1"/>
        </w:numPr>
        <w:spacing w:line="660" w:lineRule="exact"/>
        <w:ind w:firstLine="640" w:firstLineChars="200"/>
        <w:rPr>
          <w:rFonts w:eastAsia="黑体"/>
          <w:sz w:val="32"/>
          <w:szCs w:val="32"/>
        </w:rPr>
      </w:pPr>
      <w:r>
        <w:rPr>
          <w:rFonts w:hint="eastAsia" w:eastAsia="黑体"/>
          <w:sz w:val="32"/>
          <w:szCs w:val="32"/>
        </w:rPr>
        <w:t>行动任务</w:t>
      </w:r>
    </w:p>
    <w:p>
      <w:pPr>
        <w:pStyle w:val="6"/>
        <w:ind w:firstLine="640"/>
        <w:rPr>
          <w:rFonts w:ascii="Times New Roman" w:eastAsia="楷体_GB2312"/>
          <w:szCs w:val="32"/>
        </w:rPr>
      </w:pPr>
      <w:r>
        <w:rPr>
          <w:rFonts w:ascii="Times New Roman" w:eastAsia="楷体_GB2312"/>
          <w:szCs w:val="32"/>
        </w:rPr>
        <w:t>（一）消费环境优化行动</w:t>
      </w:r>
    </w:p>
    <w:p>
      <w:pPr>
        <w:spacing w:line="660" w:lineRule="exact"/>
        <w:ind w:firstLine="640" w:firstLineChars="200"/>
        <w:rPr>
          <w:rFonts w:eastAsia="仿宋_GB2312"/>
          <w:b/>
          <w:kern w:val="0"/>
          <w:sz w:val="32"/>
          <w:szCs w:val="32"/>
        </w:rPr>
      </w:pPr>
      <w:r>
        <w:rPr>
          <w:rFonts w:hint="eastAsia" w:eastAsia="仿宋_GB2312"/>
          <w:kern w:val="0"/>
          <w:sz w:val="32"/>
          <w:szCs w:val="32"/>
        </w:rPr>
        <w:t>1.培育新型消费模式。</w:t>
      </w:r>
      <w:r>
        <w:rPr>
          <w:rFonts w:hint="eastAsia" w:eastAsia="仿宋_GB2312"/>
          <w:sz w:val="32"/>
          <w:szCs w:val="32"/>
        </w:rPr>
        <w:t>鼓励省内新能源整车企业加大创新力度，研发、导入更多适合全省交通运输场景的高性能产品。支持新能源整车企业扩大生态合作，探索以租代售、经营性租赁、车电分离、增值售后服务等多元化销售新模式。（</w:t>
      </w:r>
      <w:r>
        <w:rPr>
          <w:rFonts w:hint="eastAsia" w:eastAsia="楷体_GB2312"/>
          <w:kern w:val="0"/>
          <w:sz w:val="32"/>
          <w:szCs w:val="32"/>
        </w:rPr>
        <w:t>省发展改革委、省科技厅、省工业和信息化厅、省交通运输厅、省商务厅按职责分工负责；以下</w:t>
      </w:r>
      <w:r>
        <w:rPr>
          <w:rFonts w:eastAsia="楷体_GB2312"/>
          <w:kern w:val="0"/>
          <w:sz w:val="32"/>
          <w:szCs w:val="32"/>
        </w:rPr>
        <w:t>均需</w:t>
      </w:r>
      <w:r>
        <w:rPr>
          <w:rFonts w:hint="eastAsia" w:eastAsia="楷体_GB2312"/>
          <w:kern w:val="0"/>
          <w:sz w:val="32"/>
          <w:szCs w:val="32"/>
        </w:rPr>
        <w:t>各市州人民政府</w:t>
      </w:r>
      <w:r>
        <w:rPr>
          <w:rFonts w:eastAsia="楷体_GB2312"/>
          <w:kern w:val="0"/>
          <w:sz w:val="32"/>
          <w:szCs w:val="32"/>
        </w:rPr>
        <w:t>负责，不再</w:t>
      </w:r>
      <w:r>
        <w:rPr>
          <w:rFonts w:hint="eastAsia" w:eastAsia="楷体_GB2312"/>
          <w:kern w:val="0"/>
          <w:sz w:val="32"/>
          <w:szCs w:val="32"/>
        </w:rPr>
        <w:t>列出</w:t>
      </w:r>
      <w:r>
        <w:rPr>
          <w:rFonts w:hint="eastAsia" w:eastAsia="仿宋_GB2312"/>
          <w:sz w:val="32"/>
          <w:szCs w:val="32"/>
        </w:rPr>
        <w:t xml:space="preserve">） </w:t>
      </w:r>
    </w:p>
    <w:p>
      <w:pPr>
        <w:spacing w:line="660" w:lineRule="exact"/>
        <w:ind w:firstLine="640" w:firstLineChars="200"/>
        <w:rPr>
          <w:rFonts w:eastAsia="仿宋_GB2312"/>
          <w:sz w:val="32"/>
          <w:szCs w:val="32"/>
        </w:rPr>
      </w:pPr>
      <w:r>
        <w:rPr>
          <w:rFonts w:hint="eastAsia" w:eastAsia="仿宋_GB2312"/>
          <w:kern w:val="0"/>
          <w:sz w:val="32"/>
          <w:szCs w:val="32"/>
        </w:rPr>
        <w:t>2.</w:t>
      </w:r>
      <w:r>
        <w:rPr>
          <w:rFonts w:hint="eastAsia" w:ascii="仿宋_GB2312" w:eastAsia="仿宋_GB2312"/>
          <w:kern w:val="0"/>
          <w:sz w:val="32"/>
          <w:szCs w:val="32"/>
        </w:rPr>
        <w:t>加密销售服务网点。</w:t>
      </w:r>
      <w:r>
        <w:rPr>
          <w:rFonts w:hint="eastAsia" w:eastAsia="仿宋_GB2312"/>
          <w:sz w:val="32"/>
          <w:szCs w:val="32"/>
        </w:rPr>
        <w:t>引导新能源车企及第三方机构加快建设联合营业网点，在县级城市及偏远地区开设新能源汽车交付中心并授权汽修厂作为售后服务站，定期开展维修售后服务下乡活动，完善配套售后服务体系。（</w:t>
      </w:r>
      <w:r>
        <w:rPr>
          <w:rFonts w:hint="eastAsia" w:eastAsia="楷体_GB2312"/>
          <w:kern w:val="0"/>
          <w:sz w:val="32"/>
          <w:szCs w:val="32"/>
        </w:rPr>
        <w:t>省交通运输厅、省市场监管局按职责分工负责</w:t>
      </w:r>
      <w:r>
        <w:rPr>
          <w:rFonts w:hint="eastAsia" w:eastAsia="仿宋_GB2312"/>
          <w:sz w:val="32"/>
          <w:szCs w:val="32"/>
        </w:rPr>
        <w:t>）</w:t>
      </w:r>
    </w:p>
    <w:p>
      <w:pPr>
        <w:pStyle w:val="6"/>
        <w:ind w:firstLine="640"/>
        <w:rPr>
          <w:szCs w:val="32"/>
        </w:rPr>
      </w:pPr>
      <w:r>
        <w:rPr>
          <w:rFonts w:hint="eastAsia" w:ascii="Times New Roman"/>
          <w:kern w:val="0"/>
          <w:szCs w:val="32"/>
        </w:rPr>
        <w:t>3.延伸</w:t>
      </w:r>
      <w:r>
        <w:rPr>
          <w:rFonts w:hint="eastAsia"/>
          <w:kern w:val="0"/>
          <w:szCs w:val="32"/>
        </w:rPr>
        <w:t>消费链条</w:t>
      </w:r>
      <w:r>
        <w:rPr>
          <w:kern w:val="0"/>
          <w:szCs w:val="32"/>
        </w:rPr>
        <w:t>。</w:t>
      </w:r>
      <w:r>
        <w:rPr>
          <w:szCs w:val="32"/>
        </w:rPr>
        <w:t>引导省内二手车交易市场、商户开展诚信经营。加强电池回收和再利用管理，支持开展电池租赁，提高新能源汽车保值率。（</w:t>
      </w:r>
      <w:r>
        <w:rPr>
          <w:rFonts w:eastAsia="楷体_GB2312"/>
          <w:kern w:val="0"/>
          <w:szCs w:val="32"/>
        </w:rPr>
        <w:t>省</w:t>
      </w:r>
      <w:r>
        <w:rPr>
          <w:rFonts w:hint="eastAsia" w:eastAsia="楷体_GB2312"/>
          <w:kern w:val="0"/>
          <w:szCs w:val="32"/>
        </w:rPr>
        <w:t>工业</w:t>
      </w:r>
      <w:r>
        <w:rPr>
          <w:rFonts w:eastAsia="楷体_GB2312"/>
          <w:kern w:val="0"/>
          <w:szCs w:val="32"/>
        </w:rPr>
        <w:t>和信息化厅、省商务厅、省市场监管局按职责分工负责</w:t>
      </w:r>
      <w:r>
        <w:rPr>
          <w:szCs w:val="32"/>
        </w:rPr>
        <w:t>）</w:t>
      </w:r>
    </w:p>
    <w:p>
      <w:pPr>
        <w:spacing w:line="660" w:lineRule="exact"/>
        <w:ind w:firstLine="640" w:firstLineChars="200"/>
        <w:rPr>
          <w:rFonts w:eastAsia="仿宋_GB2312"/>
          <w:sz w:val="32"/>
          <w:szCs w:val="32"/>
        </w:rPr>
      </w:pPr>
      <w:r>
        <w:rPr>
          <w:rFonts w:hint="eastAsia"/>
          <w:kern w:val="0"/>
          <w:sz w:val="32"/>
          <w:szCs w:val="32"/>
        </w:rPr>
        <w:t>4</w:t>
      </w:r>
      <w:r>
        <w:rPr>
          <w:rFonts w:eastAsia="仿宋_GB2312"/>
          <w:kern w:val="0"/>
          <w:sz w:val="32"/>
          <w:szCs w:val="32"/>
        </w:rPr>
        <w:t>.</w:t>
      </w:r>
      <w:r>
        <w:rPr>
          <w:rFonts w:hint="eastAsia" w:eastAsia="仿宋_GB2312"/>
          <w:kern w:val="0"/>
          <w:sz w:val="32"/>
          <w:szCs w:val="32"/>
        </w:rPr>
        <w:t>加强金融服务。</w:t>
      </w:r>
      <w:r>
        <w:rPr>
          <w:rFonts w:hint="eastAsia" w:eastAsia="仿宋_GB2312"/>
          <w:sz w:val="32"/>
          <w:szCs w:val="32"/>
        </w:rPr>
        <w:t>加大对新能源汽车的信贷支持力度，创新金融产品和融资方式，合理确定汽车消费贷款利率水平。针对年轻群体推出低首付、长周期金融方案。深化车险综合改革，做好新能源车险承保理赔工作。（</w:t>
      </w:r>
      <w:r>
        <w:rPr>
          <w:rFonts w:hint="eastAsia" w:ascii="仿宋_GB2312" w:eastAsia="楷体_GB2312"/>
          <w:kern w:val="0"/>
          <w:sz w:val="32"/>
          <w:szCs w:val="32"/>
        </w:rPr>
        <w:t>省委金融办</w:t>
      </w:r>
      <w:r>
        <w:rPr>
          <w:rFonts w:hint="eastAsia" w:eastAsia="楷体_GB2312"/>
          <w:kern w:val="0"/>
          <w:sz w:val="32"/>
          <w:szCs w:val="32"/>
        </w:rPr>
        <w:t>、</w:t>
      </w:r>
      <w:r>
        <w:rPr>
          <w:rFonts w:hint="eastAsia" w:ascii="仿宋_GB2312" w:eastAsia="楷体_GB2312"/>
          <w:kern w:val="0"/>
          <w:sz w:val="32"/>
          <w:szCs w:val="32"/>
        </w:rPr>
        <w:t>省商务厅、人民银行湖南省分行、湖南金融监管局按职责分工负责</w:t>
      </w:r>
      <w:r>
        <w:rPr>
          <w:rFonts w:hint="eastAsia" w:eastAsia="仿宋_GB2312"/>
          <w:sz w:val="32"/>
          <w:szCs w:val="32"/>
        </w:rPr>
        <w:t>）</w:t>
      </w:r>
    </w:p>
    <w:p>
      <w:pPr>
        <w:pStyle w:val="6"/>
        <w:ind w:firstLine="640"/>
        <w:rPr>
          <w:rFonts w:ascii="Times New Roman" w:eastAsia="楷体_GB2312"/>
          <w:szCs w:val="32"/>
        </w:rPr>
      </w:pPr>
      <w:r>
        <w:rPr>
          <w:rFonts w:hint="eastAsia" w:ascii="Times New Roman" w:eastAsia="楷体_GB2312"/>
          <w:szCs w:val="32"/>
        </w:rPr>
        <w:t>（二）商用</w:t>
      </w:r>
      <w:r>
        <w:rPr>
          <w:rFonts w:ascii="Times New Roman" w:eastAsia="楷体_GB2312"/>
          <w:szCs w:val="32"/>
        </w:rPr>
        <w:t>车辆替代行动</w:t>
      </w:r>
    </w:p>
    <w:p>
      <w:pPr>
        <w:spacing w:line="660" w:lineRule="exact"/>
        <w:ind w:firstLine="640" w:firstLineChars="200"/>
        <w:rPr>
          <w:rFonts w:eastAsia="仿宋_GB2312"/>
          <w:sz w:val="32"/>
          <w:szCs w:val="32"/>
        </w:rPr>
      </w:pPr>
      <w:r>
        <w:rPr>
          <w:rFonts w:hint="eastAsia" w:eastAsia="仿宋_GB2312"/>
          <w:kern w:val="0"/>
          <w:sz w:val="32"/>
          <w:szCs w:val="32"/>
        </w:rPr>
        <w:t>5.加快公共领域新能源汽车替代。</w:t>
      </w:r>
      <w:r>
        <w:rPr>
          <w:rFonts w:hint="eastAsia" w:eastAsia="仿宋_GB2312"/>
          <w:sz w:val="32"/>
          <w:szCs w:val="32"/>
        </w:rPr>
        <w:t>大力推进新能源汽车在城市公交、出租、邮政快递、城市环卫、货运配送、城建物流等公共领域应用，因地制宜推动新能源汽车规模化应用，支持大气污染防治重点城市和有条件的地方率先在城建物流领域开展新能源汽车替代，逐步提升混凝土、建筑垃圾（含渣土）、砂石建材运输新能源车保有量占比。（</w:t>
      </w:r>
      <w:r>
        <w:rPr>
          <w:rFonts w:hint="eastAsia" w:eastAsia="楷体_GB2312"/>
          <w:kern w:val="0"/>
          <w:sz w:val="32"/>
          <w:szCs w:val="32"/>
        </w:rPr>
        <w:t>省发展改革委、省公安厅、省财政厅、省生态环境厅、省交通运输厅、省商务厅、省邮政管理局按职责分工负责</w:t>
      </w:r>
      <w:r>
        <w:rPr>
          <w:rFonts w:hint="eastAsia" w:eastAsia="仿宋_GB2312"/>
          <w:sz w:val="32"/>
          <w:szCs w:val="32"/>
        </w:rPr>
        <w:t>）</w:t>
      </w:r>
    </w:p>
    <w:p>
      <w:pPr>
        <w:spacing w:line="660" w:lineRule="exact"/>
        <w:ind w:firstLine="640" w:firstLineChars="200"/>
        <w:rPr>
          <w:rFonts w:eastAsia="仿宋_GB2312"/>
          <w:sz w:val="32"/>
          <w:szCs w:val="32"/>
        </w:rPr>
      </w:pPr>
      <w:r>
        <w:rPr>
          <w:rFonts w:hint="eastAsia" w:eastAsia="仿宋_GB2312"/>
          <w:kern w:val="0"/>
          <w:sz w:val="32"/>
          <w:szCs w:val="32"/>
        </w:rPr>
        <w:t>6.加大新能源货车支持力度。</w:t>
      </w:r>
      <w:r>
        <w:rPr>
          <w:rFonts w:hint="eastAsia" w:eastAsia="仿宋_GB2312"/>
          <w:sz w:val="32"/>
          <w:szCs w:val="32"/>
        </w:rPr>
        <w:t>将淘汰国四及以下排放标准货车作为突破口，充分发挥消费品以旧换新政策引导作用，积极落实省级财政资金支持，加快推进老旧货车淘汰工作，实施新能源货车高速通行费优惠。（</w:t>
      </w:r>
      <w:r>
        <w:rPr>
          <w:rFonts w:hint="eastAsia" w:eastAsia="楷体_GB2312"/>
          <w:kern w:val="0"/>
          <w:sz w:val="32"/>
          <w:szCs w:val="32"/>
        </w:rPr>
        <w:t>省发展改革委、省财政厅、省交通运输厅按职责分工负责</w:t>
      </w:r>
      <w:r>
        <w:rPr>
          <w:rFonts w:hint="eastAsia" w:eastAsia="仿宋_GB2312"/>
          <w:sz w:val="32"/>
          <w:szCs w:val="32"/>
        </w:rPr>
        <w:t>）</w:t>
      </w:r>
    </w:p>
    <w:p>
      <w:pPr>
        <w:pStyle w:val="6"/>
        <w:ind w:firstLine="640"/>
        <w:rPr>
          <w:rFonts w:ascii="Times New Roman" w:eastAsia="楷体_GB2312"/>
          <w:szCs w:val="32"/>
        </w:rPr>
      </w:pPr>
      <w:r>
        <w:rPr>
          <w:rFonts w:ascii="Times New Roman" w:eastAsia="楷体_GB2312"/>
          <w:szCs w:val="32"/>
        </w:rPr>
        <w:t>（</w:t>
      </w:r>
      <w:r>
        <w:rPr>
          <w:rFonts w:hint="eastAsia" w:ascii="Times New Roman" w:eastAsia="楷体_GB2312"/>
          <w:szCs w:val="32"/>
        </w:rPr>
        <w:t>三</w:t>
      </w:r>
      <w:r>
        <w:rPr>
          <w:rFonts w:ascii="Times New Roman" w:eastAsia="楷体_GB2312"/>
          <w:szCs w:val="32"/>
        </w:rPr>
        <w:t>）补能设施提升行动</w:t>
      </w:r>
    </w:p>
    <w:p>
      <w:pPr>
        <w:spacing w:line="660" w:lineRule="exact"/>
        <w:ind w:firstLine="640" w:firstLineChars="200"/>
        <w:rPr>
          <w:rFonts w:eastAsia="仿宋_GB2312"/>
          <w:sz w:val="32"/>
          <w:szCs w:val="32"/>
        </w:rPr>
      </w:pPr>
      <w:r>
        <w:rPr>
          <w:rFonts w:hint="eastAsia" w:eastAsia="仿宋_GB2312"/>
          <w:kern w:val="0"/>
          <w:sz w:val="32"/>
          <w:szCs w:val="32"/>
        </w:rPr>
        <w:t>7.优化城市居民充电设施报装流程。</w:t>
      </w:r>
      <w:r>
        <w:rPr>
          <w:rFonts w:hint="eastAsia" w:eastAsia="仿宋_GB2312"/>
          <w:sz w:val="32"/>
          <w:szCs w:val="32"/>
        </w:rPr>
        <w:t>推行城市居住区充电桩“统建统服”，落实街道社区基层管理责任，推动充电运营企业、车辆销售企业、物业服务企业、车位产权方、业主委员会等为居民提供新能源汽车购车、接电、装桩“一站式”服务。（</w:t>
      </w:r>
      <w:r>
        <w:rPr>
          <w:rFonts w:hint="eastAsia" w:eastAsia="楷体_GB2312"/>
          <w:kern w:val="0"/>
          <w:sz w:val="32"/>
          <w:szCs w:val="32"/>
        </w:rPr>
        <w:t>省发展改革委、省住房城乡建设厅、省能源局、国网湖南省电力公司按职责分工负责</w:t>
      </w:r>
      <w:r>
        <w:rPr>
          <w:rFonts w:hint="eastAsia" w:eastAsia="仿宋_GB2312"/>
          <w:sz w:val="32"/>
          <w:szCs w:val="32"/>
        </w:rPr>
        <w:t>）</w:t>
      </w:r>
    </w:p>
    <w:p>
      <w:pPr>
        <w:spacing w:line="660" w:lineRule="exact"/>
        <w:ind w:firstLine="640" w:firstLineChars="200"/>
        <w:rPr>
          <w:rFonts w:eastAsia="仿宋_GB2312"/>
          <w:b/>
          <w:kern w:val="0"/>
          <w:sz w:val="32"/>
          <w:szCs w:val="32"/>
        </w:rPr>
      </w:pPr>
      <w:r>
        <w:rPr>
          <w:rFonts w:hint="eastAsia" w:eastAsia="仿宋_GB2312"/>
          <w:kern w:val="0"/>
          <w:sz w:val="32"/>
          <w:szCs w:val="32"/>
        </w:rPr>
        <w:t>8.加强公共领域专用补能设施建设。</w:t>
      </w:r>
      <w:r>
        <w:rPr>
          <w:rFonts w:hint="eastAsia" w:eastAsia="仿宋_GB2312"/>
          <w:sz w:val="32"/>
          <w:szCs w:val="32"/>
        </w:rPr>
        <w:t>完善新能源城市公交、货车等专用补能设施在用地审批、电网扩容、分时电价、分布式能源项目等方面的配套政策。鼓励社会资本投资建设新能源汽车专用补能设施，不断提高公共领域新能源汽车补能便利性。（</w:t>
      </w:r>
      <w:r>
        <w:rPr>
          <w:rFonts w:hint="eastAsia" w:eastAsia="楷体_GB2312"/>
          <w:kern w:val="0"/>
          <w:sz w:val="32"/>
          <w:szCs w:val="32"/>
        </w:rPr>
        <w:t>省发展改革委、省自然资源厅、省住房城乡建设厅、省交通运输厅、省能源局、国网湖南省电力公司按职责分工负责</w:t>
      </w:r>
      <w:r>
        <w:rPr>
          <w:rFonts w:hint="eastAsia" w:eastAsia="仿宋_GB2312"/>
          <w:sz w:val="32"/>
          <w:szCs w:val="32"/>
        </w:rPr>
        <w:t>）</w:t>
      </w:r>
    </w:p>
    <w:p>
      <w:pPr>
        <w:spacing w:line="660" w:lineRule="exact"/>
        <w:ind w:firstLine="640" w:firstLineChars="200"/>
        <w:rPr>
          <w:rFonts w:eastAsia="仿宋_GB2312"/>
          <w:b/>
          <w:kern w:val="0"/>
          <w:sz w:val="32"/>
          <w:szCs w:val="32"/>
        </w:rPr>
      </w:pPr>
      <w:r>
        <w:rPr>
          <w:rFonts w:hint="eastAsia" w:eastAsia="仿宋_GB2312"/>
          <w:kern w:val="0"/>
          <w:sz w:val="32"/>
          <w:szCs w:val="32"/>
        </w:rPr>
        <w:t>9.加快交通枢纽补能基础设施建设。</w:t>
      </w:r>
      <w:r>
        <w:rPr>
          <w:rFonts w:hint="eastAsia" w:eastAsia="仿宋_GB2312"/>
          <w:sz w:val="32"/>
          <w:szCs w:val="32"/>
        </w:rPr>
        <w:t>在高速服务区、物流园区、港口码头、物流干线沿线、国省干道等区域加快规划新建一批大功率充（换）电站、加氢站等；在具备条件的加油（气）站改扩建一批集加油（气）、充（换）电等业务为一体的综合供能服务站。（</w:t>
      </w:r>
      <w:r>
        <w:rPr>
          <w:rFonts w:hint="eastAsia" w:eastAsia="楷体_GB2312"/>
          <w:kern w:val="0"/>
          <w:sz w:val="32"/>
          <w:szCs w:val="32"/>
        </w:rPr>
        <w:t>省发展改革委、省自然资源厅、省住房城乡建设厅、省交通运输厅、省水利厅、省商务厅、省能源局、国网湖南省电力公司按职责分工负责</w:t>
      </w:r>
      <w:r>
        <w:rPr>
          <w:rFonts w:hint="eastAsia" w:eastAsia="仿宋_GB2312"/>
          <w:sz w:val="32"/>
          <w:szCs w:val="32"/>
        </w:rPr>
        <w:t>）</w:t>
      </w:r>
    </w:p>
    <w:p>
      <w:pPr>
        <w:spacing w:line="660" w:lineRule="exact"/>
        <w:ind w:firstLine="640" w:firstLineChars="200"/>
        <w:rPr>
          <w:rFonts w:eastAsia="仿宋_GB2312"/>
          <w:sz w:val="32"/>
          <w:szCs w:val="32"/>
        </w:rPr>
      </w:pPr>
      <w:r>
        <w:rPr>
          <w:rFonts w:hint="eastAsia" w:eastAsia="仿宋_GB2312"/>
          <w:kern w:val="0"/>
          <w:sz w:val="32"/>
          <w:szCs w:val="32"/>
        </w:rPr>
        <w:t>10.加强农村地区充电基础设施建设。</w:t>
      </w:r>
      <w:r>
        <w:rPr>
          <w:rFonts w:hint="eastAsia" w:eastAsia="仿宋_GB2312"/>
          <w:sz w:val="32"/>
          <w:szCs w:val="32"/>
        </w:rPr>
        <w:t>将充电桩建设纳入“村村通工程”，推动农村地区实现充电站“乡乡全覆盖”、充电桩“村村全覆盖”。做好农村电网规划与充电基础设施规划的衔接，结合备案的建设项目提前开展配套电网建设改造，补齐农村地区配电能力短板。支持各地结合新型城镇化建设、美丽乡村建设、旅游开发，探索推动充（换）电设施与分布式光伏发电、停车场、加油（气）站等设施一体化发展。（</w:t>
      </w:r>
      <w:r>
        <w:rPr>
          <w:rFonts w:hint="eastAsia" w:eastAsia="楷体_GB2312"/>
          <w:kern w:val="0"/>
          <w:sz w:val="32"/>
          <w:szCs w:val="32"/>
        </w:rPr>
        <w:t>省发展改革委、省农业农村厅、省文化和旅游厅、省能源局、国网湖南省电力公司按职责分工负责</w:t>
      </w:r>
      <w:r>
        <w:rPr>
          <w:rFonts w:hint="eastAsia" w:eastAsia="仿宋_GB2312"/>
          <w:sz w:val="32"/>
          <w:szCs w:val="32"/>
        </w:rPr>
        <w:t>）</w:t>
      </w:r>
    </w:p>
    <w:p>
      <w:pPr>
        <w:pStyle w:val="6"/>
        <w:ind w:firstLine="640"/>
        <w:rPr>
          <w:rFonts w:ascii="Times New Roman" w:eastAsia="楷体_GB2312"/>
          <w:szCs w:val="32"/>
        </w:rPr>
      </w:pPr>
      <w:r>
        <w:rPr>
          <w:rFonts w:ascii="Times New Roman" w:eastAsia="楷体_GB2312"/>
          <w:szCs w:val="32"/>
        </w:rPr>
        <w:t>（四）支持政策加力行动</w:t>
      </w:r>
    </w:p>
    <w:p>
      <w:pPr>
        <w:spacing w:line="660" w:lineRule="exact"/>
        <w:ind w:firstLine="640" w:firstLineChars="200"/>
        <w:rPr>
          <w:rFonts w:eastAsia="仿宋_GB2312"/>
          <w:sz w:val="32"/>
          <w:szCs w:val="32"/>
        </w:rPr>
      </w:pPr>
      <w:r>
        <w:rPr>
          <w:rFonts w:eastAsia="仿宋_GB2312"/>
          <w:kern w:val="0"/>
          <w:sz w:val="32"/>
          <w:szCs w:val="32"/>
        </w:rPr>
        <w:t>1</w:t>
      </w:r>
      <w:r>
        <w:rPr>
          <w:rFonts w:hint="eastAsia" w:eastAsia="仿宋_GB2312"/>
          <w:kern w:val="0"/>
          <w:sz w:val="32"/>
          <w:szCs w:val="32"/>
        </w:rPr>
        <w:t>1</w:t>
      </w:r>
      <w:r>
        <w:rPr>
          <w:rFonts w:eastAsia="仿宋_GB2312"/>
          <w:kern w:val="0"/>
          <w:sz w:val="32"/>
          <w:szCs w:val="32"/>
        </w:rPr>
        <w:t>.</w:t>
      </w:r>
      <w:r>
        <w:rPr>
          <w:rFonts w:hint="eastAsia" w:eastAsia="仿宋_GB2312"/>
          <w:kern w:val="0"/>
          <w:sz w:val="32"/>
          <w:szCs w:val="32"/>
        </w:rPr>
        <w:t>充分落实财政支持政策</w:t>
      </w:r>
      <w:r>
        <w:rPr>
          <w:rFonts w:eastAsia="仿宋_GB2312"/>
          <w:kern w:val="0"/>
          <w:sz w:val="32"/>
          <w:szCs w:val="32"/>
        </w:rPr>
        <w:t>。</w:t>
      </w:r>
      <w:r>
        <w:rPr>
          <w:rFonts w:hint="eastAsia" w:eastAsia="仿宋_GB2312"/>
          <w:bCs/>
          <w:kern w:val="0"/>
          <w:sz w:val="32"/>
          <w:szCs w:val="32"/>
        </w:rPr>
        <w:t>统筹现有中央、省级专项资金，落实消费品以旧换新、新能源汽车下乡等政策，通过多维度协同发力激发新能源汽车消费活力。在全省开展新能源汽车促销、展销活动，扩大新能源汽车在全省的普及和消费。探索对新能源汽车充电消费开展一定比例的补助。</w:t>
      </w:r>
      <w:r>
        <w:rPr>
          <w:rFonts w:hint="eastAsia" w:eastAsia="仿宋_GB2312"/>
          <w:sz w:val="32"/>
          <w:szCs w:val="32"/>
        </w:rPr>
        <w:t>鼓励各市州针对消费者购买新能源汽车发放补贴</w:t>
      </w:r>
      <w:r>
        <w:rPr>
          <w:rFonts w:eastAsia="仿宋_GB2312"/>
          <w:sz w:val="32"/>
          <w:szCs w:val="32"/>
        </w:rPr>
        <w:t>。</w:t>
      </w:r>
      <w:r>
        <w:rPr>
          <w:rFonts w:hint="eastAsia" w:eastAsia="仿宋_GB2312"/>
          <w:sz w:val="32"/>
          <w:szCs w:val="32"/>
        </w:rPr>
        <w:t>（</w:t>
      </w:r>
      <w:r>
        <w:rPr>
          <w:rFonts w:hint="eastAsia" w:eastAsia="楷体_GB2312"/>
          <w:kern w:val="0"/>
          <w:sz w:val="32"/>
          <w:szCs w:val="32"/>
        </w:rPr>
        <w:t>省发展改革委、省财政厅、省交通运输厅、省商务厅按职责分工负责</w:t>
      </w:r>
      <w:r>
        <w:rPr>
          <w:rFonts w:hint="eastAsia" w:eastAsia="仿宋_GB2312"/>
          <w:sz w:val="32"/>
          <w:szCs w:val="32"/>
        </w:rPr>
        <w:t>）</w:t>
      </w:r>
    </w:p>
    <w:p>
      <w:pPr>
        <w:spacing w:line="660" w:lineRule="exact"/>
        <w:ind w:firstLine="640" w:firstLineChars="200"/>
        <w:rPr>
          <w:rFonts w:eastAsia="仿宋_GB2312"/>
          <w:sz w:val="32"/>
          <w:szCs w:val="32"/>
        </w:rPr>
      </w:pPr>
      <w:r>
        <w:rPr>
          <w:rFonts w:hint="eastAsia" w:eastAsia="仿宋_GB2312"/>
          <w:kern w:val="0"/>
          <w:sz w:val="32"/>
          <w:szCs w:val="32"/>
        </w:rPr>
        <w:t>12.</w:t>
      </w:r>
      <w:r>
        <w:rPr>
          <w:rFonts w:eastAsia="仿宋_GB2312"/>
          <w:kern w:val="0"/>
          <w:sz w:val="32"/>
          <w:szCs w:val="32"/>
        </w:rPr>
        <w:t>扩大新能源汽车路权</w:t>
      </w:r>
      <w:r>
        <w:rPr>
          <w:rFonts w:hint="eastAsia" w:eastAsia="仿宋_GB2312"/>
          <w:kern w:val="0"/>
          <w:sz w:val="32"/>
          <w:szCs w:val="32"/>
        </w:rPr>
        <w:t>优势</w:t>
      </w:r>
      <w:r>
        <w:rPr>
          <w:rFonts w:eastAsia="仿宋_GB2312"/>
          <w:kern w:val="0"/>
          <w:sz w:val="32"/>
          <w:szCs w:val="32"/>
        </w:rPr>
        <w:t>。</w:t>
      </w:r>
      <w:r>
        <w:rPr>
          <w:rFonts w:hint="eastAsia" w:eastAsia="仿宋_GB2312"/>
          <w:kern w:val="0"/>
          <w:sz w:val="32"/>
          <w:szCs w:val="32"/>
        </w:rPr>
        <w:t>鼓励各市州研究出台主城区内核心路段新能源汽车路权放开、增时作业等便利通行政策，以及公共场所减免新能源汽车停车费等优惠政策。</w:t>
      </w:r>
      <w:r>
        <w:rPr>
          <w:rFonts w:hint="eastAsia" w:eastAsia="仿宋_GB2312"/>
          <w:sz w:val="32"/>
          <w:szCs w:val="32"/>
        </w:rPr>
        <w:t>（</w:t>
      </w:r>
      <w:r>
        <w:rPr>
          <w:rFonts w:eastAsia="楷体_GB2312"/>
          <w:kern w:val="0"/>
          <w:sz w:val="32"/>
          <w:szCs w:val="32"/>
        </w:rPr>
        <w:t>省公安厅</w:t>
      </w:r>
      <w:r>
        <w:rPr>
          <w:rFonts w:hint="eastAsia" w:eastAsia="楷体_GB2312"/>
          <w:kern w:val="0"/>
          <w:sz w:val="32"/>
          <w:szCs w:val="32"/>
        </w:rPr>
        <w:t>、省发展改革委按职责分工负责</w:t>
      </w:r>
      <w:r>
        <w:rPr>
          <w:rFonts w:eastAsia="仿宋_GB2312"/>
          <w:sz w:val="32"/>
          <w:szCs w:val="32"/>
        </w:rPr>
        <w:t>）</w:t>
      </w:r>
    </w:p>
    <w:p>
      <w:pPr>
        <w:pStyle w:val="6"/>
        <w:ind w:firstLine="640"/>
        <w:rPr>
          <w:rFonts w:ascii="Times New Roman" w:eastAsia="黑体"/>
          <w:szCs w:val="32"/>
        </w:rPr>
      </w:pPr>
      <w:r>
        <w:rPr>
          <w:rFonts w:ascii="Times New Roman" w:eastAsia="黑体"/>
          <w:szCs w:val="32"/>
        </w:rPr>
        <w:t>三、保障措施</w:t>
      </w:r>
    </w:p>
    <w:p>
      <w:pPr>
        <w:spacing w:line="660" w:lineRule="exact"/>
        <w:ind w:firstLine="640" w:firstLineChars="200"/>
        <w:rPr>
          <w:sz w:val="32"/>
          <w:szCs w:val="32"/>
        </w:rPr>
      </w:pPr>
      <w:r>
        <w:rPr>
          <w:rFonts w:hint="eastAsia" w:eastAsia="仿宋_GB2312"/>
          <w:sz w:val="32"/>
          <w:szCs w:val="32"/>
        </w:rPr>
        <w:t>建立由省发展改革委（省能源局）、省商务厅双牵头，省委宣传部、省工业和信息化厅、省公安厅、省财政厅、省生态环境厅、省住房城乡建设厅、省交通运输厅、省数据局等省直相关部门组成的全省新能源汽车渗透率加快提升工作机制。各地各部门要统一思想、深化认识，将本行动计划列为重点工作事项并结合实际细化工作举措，抓好任务落实。省委宣传部、省发展改革委（省能源局）、省交通运输厅、省商务厅要加大政策宣传力度，大力宣传新能源汽车对降低能源消耗、减少污染物排放的重大意义，进一步普及新能源汽车知识，消除认知误区，提高社会对新能源汽车的接受度，形成鼓励和支持新能源汽车消费的良好氛围。</w:t>
      </w:r>
    </w:p>
    <w:sectPr>
      <w:footerReference r:id="rId3" w:type="default"/>
      <w:footerReference r:id="rId4" w:type="even"/>
      <w:pgSz w:w="11906" w:h="16838"/>
      <w:pgMar w:top="1871" w:right="1531" w:bottom="153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path/>
          <v:fill on="f" focussize="0,0"/>
          <v:stroke on="f" weight="0.5pt" joinstyle="miter"/>
          <v:imagedata o:title=""/>
          <o:lock v:ext="edit"/>
          <v:textbox inset="0mm,0mm,0mm,0mm" style="mso-fit-shape-to-text:t;">
            <w:txbxContent>
              <w:p>
                <w:pPr>
                  <w:pStyle w:val="5"/>
                  <w:jc w:val="cente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path/>
          <v:fill on="f" focussize="0,0"/>
          <v:stroke on="f" weight="0.5pt" joinstyle="miter"/>
          <v:imagedata o:title=""/>
          <o:lock v:ext="edit"/>
          <v:textbox inset="0mm,0mm,0mm,0mm" style="mso-fit-shape-to-text:t;">
            <w:txbxContent>
              <w:p>
                <w:pPr>
                  <w:pStyle w:val="5"/>
                  <w:jc w:val="cente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D8BA"/>
    <w:multiLevelType w:val="singleLevel"/>
    <w:tmpl w:val="07B7D8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7BE2B73"/>
    <w:rsid w:val="00066A32"/>
    <w:rsid w:val="000D602E"/>
    <w:rsid w:val="00167CB7"/>
    <w:rsid w:val="00187C9D"/>
    <w:rsid w:val="003741FE"/>
    <w:rsid w:val="003769B8"/>
    <w:rsid w:val="00401AF2"/>
    <w:rsid w:val="00426C0B"/>
    <w:rsid w:val="00496B92"/>
    <w:rsid w:val="006C651F"/>
    <w:rsid w:val="008A5CE8"/>
    <w:rsid w:val="008D6224"/>
    <w:rsid w:val="008F746F"/>
    <w:rsid w:val="00C35CA7"/>
    <w:rsid w:val="00DF062F"/>
    <w:rsid w:val="00E37A11"/>
    <w:rsid w:val="051458B5"/>
    <w:rsid w:val="07BE2B73"/>
    <w:rsid w:val="0BCD74B4"/>
    <w:rsid w:val="2E053A60"/>
    <w:rsid w:val="37F0752F"/>
    <w:rsid w:val="3A7456C4"/>
    <w:rsid w:val="3CF67395"/>
    <w:rsid w:val="46B46A7B"/>
    <w:rsid w:val="51A927D1"/>
    <w:rsid w:val="6A021FF4"/>
    <w:rsid w:val="77E49BAF"/>
    <w:rsid w:val="EBEDB9FD"/>
    <w:rsid w:val="F78F35FC"/>
    <w:rsid w:val="FABE0764"/>
    <w:rsid w:val="FFB25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3">
    <w:name w:val="Body Text Indent"/>
    <w:basedOn w:val="1"/>
    <w:next w:val="1"/>
    <w:qFormat/>
    <w:uiPriority w:val="0"/>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Body Text First Indent 2"/>
    <w:basedOn w:val="3"/>
    <w:next w:val="2"/>
    <w:qFormat/>
    <w:uiPriority w:val="0"/>
    <w:pPr>
      <w:spacing w:after="0" w:line="660" w:lineRule="exact"/>
      <w:ind w:left="0" w:leftChars="0" w:firstLine="420" w:firstLineChars="200"/>
    </w:pPr>
    <w:rPr>
      <w:rFonts w:ascii="仿宋_GB2312" w:eastAsia="仿宋_GB2312"/>
      <w:sz w:val="32"/>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8"/>
    <w:link w:val="7"/>
    <w:qFormat/>
    <w:uiPriority w:val="0"/>
    <w:rPr>
      <w:rFonts w:ascii="Times New Roman" w:hAnsi="Times New Roman" w:eastAsia="宋体" w:cs="Times New Roman"/>
      <w:kern w:val="2"/>
      <w:sz w:val="18"/>
      <w:szCs w:val="18"/>
    </w:rPr>
  </w:style>
  <w:style w:type="character" w:customStyle="1" w:styleId="11">
    <w:name w:val="页脚 Char"/>
    <w:basedOn w:val="8"/>
    <w:link w:val="5"/>
    <w:qFormat/>
    <w:uiPriority w:val="0"/>
    <w:rPr>
      <w:rFonts w:ascii="Times New Roman" w:hAnsi="Times New Roman" w:eastAsia="宋体" w:cs="Times New Roman"/>
      <w:kern w:val="2"/>
      <w:sz w:val="18"/>
      <w:szCs w:val="18"/>
    </w:rPr>
  </w:style>
  <w:style w:type="character" w:customStyle="1" w:styleId="12">
    <w:name w:val="批注框文本 Char"/>
    <w:basedOn w:val="8"/>
    <w:link w:val="4"/>
    <w:qFormat/>
    <w:uiPriority w:val="0"/>
    <w:rPr>
      <w:rFonts w:ascii="Times New Roman" w:hAnsi="Times New Roman" w:eastAsia="宋体" w:cs="Times New Roman"/>
      <w:kern w:val="2"/>
      <w:sz w:val="18"/>
      <w:szCs w:val="18"/>
    </w:rPr>
  </w:style>
  <w:style w:type="paragraph" w:customStyle="1" w:styleId="13">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2474</Words>
  <Characters>121</Characters>
  <Lines>1</Lines>
  <Paragraphs>5</Paragraphs>
  <TotalTime>1</TotalTime>
  <ScaleCrop>false</ScaleCrop>
  <LinksUpToDate>false</LinksUpToDate>
  <CharactersWithSpaces>2590</CharactersWithSpaces>
  <Application>WPS Office_10.8.0.7113_F1E327BC-269C-435d-A152-05C5408002CA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2025-09-28T11:42:00Z</dcterms:created>
  <dc:creator>刘航</dc:creator>
  <cp:lastModifiedBy>李钟初03</cp:lastModifiedBy>
  <cp:lastPrinted>2025-09-23T19:29:00Z</cp:lastPrinted>
  <dcterms:modified xsi:type="dcterms:W3CDTF">2025-09-30T17:13:55Z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2052-10.8.0.7113</vt:lpwstr>
  </property>
  <property fmtid="{D5CDD505-2E9C-101B-9397-08002B2CF9AE}" pid="3" name="ICV">
    <vt:lpwstr>BBD71548E8174433B8BD910D5911F740_13</vt:lpwstr>
  </property>
  <property fmtid="{D5CDD505-2E9C-101B-9397-08002B2CF9AE}" pid="4" name="KSOTemplateDocerSaveRecord">
    <vt:lpwstr>eyJoZGlkIjoiYjRhNjNmZDZhZGUzMzFhOTIyYzhiNzMwMzkxMmE0YTEiLCJ1c2VySWQiOiIzOTE5NzMzMDYifQ==</vt:lpwstr>
  </property>
</Properties>
</file>