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beforeAutospacing="0" w:after="0" w:afterAutospacing="0" w:line="600" w:lineRule="exact"/>
        <w:rPr>
          <w:rFonts w:hint="eastAsia" w:ascii="方正黑体_GBK" w:eastAsia="方正黑体_GBK" w:cs="黑体"/>
          <w:sz w:val="34"/>
          <w:szCs w:val="34"/>
        </w:rPr>
      </w:pPr>
      <w:r>
        <w:rPr>
          <w:rFonts w:hint="eastAsia" w:ascii="方正黑体_GBK" w:eastAsia="方正黑体_GBK" w:cs="黑体"/>
          <w:sz w:val="34"/>
          <w:szCs w:val="34"/>
        </w:rPr>
        <w:t>附件</w:t>
      </w:r>
    </w:p>
    <w:p>
      <w:pPr>
        <w:pStyle w:val="3"/>
        <w:spacing w:before="0" w:beforeAutospacing="0" w:after="0" w:afterAutospacing="0" w:line="600" w:lineRule="exact"/>
        <w:rPr>
          <w:rFonts w:hint="eastAsia" w:ascii="方正黑体_GBK" w:eastAsia="方正黑体_GBK"/>
          <w:sz w:val="34"/>
          <w:szCs w:val="34"/>
        </w:rPr>
      </w:pPr>
    </w:p>
    <w:p>
      <w:pPr>
        <w:pStyle w:val="3"/>
        <w:spacing w:before="0" w:beforeAutospacing="0" w:after="0" w:afterAutospacing="0" w:line="600" w:lineRule="exact"/>
        <w:jc w:val="center"/>
        <w:rPr>
          <w:rFonts w:hint="eastAsia" w:ascii="方正小标宋_GBK" w:eastAsia="方正小标宋_GBK" w:cs="方正小标宋简体"/>
          <w:sz w:val="40"/>
          <w:szCs w:val="40"/>
        </w:rPr>
      </w:pPr>
      <w:bookmarkStart w:id="0" w:name="_GoBack"/>
      <w:r>
        <w:rPr>
          <w:rFonts w:hint="eastAsia" w:ascii="方正小标宋_GBK" w:eastAsia="方正小标宋_GBK" w:cs="方正小标宋简体"/>
          <w:sz w:val="40"/>
          <w:szCs w:val="40"/>
        </w:rPr>
        <w:t>推进湖南省防灾减灾救灾体制机制改革分工方案</w:t>
      </w:r>
    </w:p>
    <w:bookmarkEnd w:id="0"/>
    <w:p>
      <w:pPr>
        <w:pStyle w:val="3"/>
        <w:spacing w:before="0" w:beforeAutospacing="0" w:after="0" w:afterAutospacing="0" w:line="600" w:lineRule="exact"/>
        <w:jc w:val="center"/>
        <w:rPr>
          <w:rFonts w:hint="eastAsia" w:ascii="方正小标宋_GBK" w:eastAsia="方正小标宋_GBK"/>
          <w:sz w:val="40"/>
          <w:szCs w:val="40"/>
        </w:rPr>
      </w:pPr>
    </w:p>
    <w:tbl>
      <w:tblPr>
        <w:tblStyle w:val="6"/>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51"/>
        <w:gridCol w:w="5513"/>
        <w:gridCol w:w="1187"/>
        <w:gridCol w:w="1680"/>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blHeader/>
          <w:jc w:val="center"/>
        </w:trPr>
        <w:tc>
          <w:tcPr>
            <w:tcW w:w="851" w:type="dxa"/>
            <w:vAlign w:val="center"/>
          </w:tcPr>
          <w:p>
            <w:pPr>
              <w:spacing w:line="320" w:lineRule="exact"/>
              <w:jc w:val="center"/>
              <w:rPr>
                <w:rFonts w:hint="eastAsia" w:ascii="方正黑体_GBK" w:eastAsia="方正黑体_GBK"/>
                <w:bCs/>
                <w:sz w:val="24"/>
              </w:rPr>
            </w:pPr>
            <w:r>
              <w:rPr>
                <w:rFonts w:hint="eastAsia" w:ascii="方正黑体_GBK" w:eastAsia="方正黑体_GBK" w:cs="宋体"/>
                <w:bCs/>
                <w:sz w:val="24"/>
              </w:rPr>
              <w:t>改革</w:t>
            </w:r>
          </w:p>
          <w:p>
            <w:pPr>
              <w:spacing w:line="320" w:lineRule="exact"/>
              <w:jc w:val="center"/>
              <w:rPr>
                <w:rFonts w:hint="eastAsia" w:ascii="方正黑体_GBK" w:eastAsia="方正黑体_GBK"/>
                <w:bCs/>
                <w:sz w:val="24"/>
              </w:rPr>
            </w:pPr>
            <w:r>
              <w:rPr>
                <w:rFonts w:hint="eastAsia" w:ascii="方正黑体_GBK" w:eastAsia="方正黑体_GBK" w:cs="宋体"/>
                <w:bCs/>
                <w:sz w:val="24"/>
              </w:rPr>
              <w:t>事项</w:t>
            </w:r>
          </w:p>
        </w:tc>
        <w:tc>
          <w:tcPr>
            <w:tcW w:w="5513" w:type="dxa"/>
            <w:vAlign w:val="center"/>
          </w:tcPr>
          <w:p>
            <w:pPr>
              <w:spacing w:line="320" w:lineRule="exact"/>
              <w:jc w:val="center"/>
              <w:rPr>
                <w:rFonts w:hint="eastAsia" w:ascii="方正黑体_GBK" w:eastAsia="方正黑体_GBK"/>
                <w:bCs/>
                <w:sz w:val="24"/>
              </w:rPr>
            </w:pPr>
            <w:r>
              <w:rPr>
                <w:rFonts w:hint="eastAsia" w:ascii="方正黑体_GBK" w:eastAsia="方正黑体_GBK" w:cs="宋体"/>
                <w:bCs/>
                <w:sz w:val="24"/>
              </w:rPr>
              <w:t>具体举措</w:t>
            </w:r>
          </w:p>
        </w:tc>
        <w:tc>
          <w:tcPr>
            <w:tcW w:w="1187" w:type="dxa"/>
            <w:vAlign w:val="center"/>
          </w:tcPr>
          <w:p>
            <w:pPr>
              <w:spacing w:line="320" w:lineRule="exact"/>
              <w:jc w:val="center"/>
              <w:rPr>
                <w:rFonts w:hint="eastAsia" w:ascii="方正黑体_GBK" w:eastAsia="方正黑体_GBK"/>
                <w:bCs/>
                <w:sz w:val="24"/>
              </w:rPr>
            </w:pPr>
            <w:r>
              <w:rPr>
                <w:rFonts w:hint="eastAsia" w:ascii="方正黑体_GBK" w:eastAsia="方正黑体_GBK" w:cs="宋体"/>
                <w:bCs/>
                <w:sz w:val="24"/>
              </w:rPr>
              <w:t>牵头部门</w:t>
            </w:r>
          </w:p>
        </w:tc>
        <w:tc>
          <w:tcPr>
            <w:tcW w:w="1680" w:type="dxa"/>
            <w:vAlign w:val="center"/>
          </w:tcPr>
          <w:p>
            <w:pPr>
              <w:spacing w:line="320" w:lineRule="exact"/>
              <w:jc w:val="center"/>
              <w:rPr>
                <w:rFonts w:hint="eastAsia" w:ascii="方正黑体_GBK" w:eastAsia="方正黑体_GBK"/>
                <w:bCs/>
                <w:sz w:val="24"/>
              </w:rPr>
            </w:pPr>
            <w:r>
              <w:rPr>
                <w:rFonts w:hint="eastAsia" w:ascii="方正黑体_GBK" w:eastAsia="方正黑体_GBK" w:cs="宋体"/>
                <w:bCs/>
                <w:sz w:val="24"/>
              </w:rPr>
              <w:t>参与部门</w:t>
            </w:r>
          </w:p>
        </w:tc>
        <w:tc>
          <w:tcPr>
            <w:tcW w:w="829" w:type="dxa"/>
            <w:vAlign w:val="center"/>
          </w:tcPr>
          <w:p>
            <w:pPr>
              <w:spacing w:line="320" w:lineRule="exact"/>
              <w:jc w:val="center"/>
              <w:rPr>
                <w:rFonts w:hint="eastAsia" w:ascii="方正黑体_GBK" w:eastAsia="方正黑体_GBK"/>
                <w:bCs/>
                <w:sz w:val="24"/>
              </w:rPr>
            </w:pPr>
            <w:r>
              <w:rPr>
                <w:rFonts w:hint="eastAsia" w:ascii="方正黑体_GBK" w:eastAsia="方正黑体_GBK" w:cs="宋体"/>
                <w:bCs/>
                <w:sz w:val="24"/>
              </w:rPr>
              <w:t>完成</w:t>
            </w:r>
          </w:p>
          <w:p>
            <w:pPr>
              <w:spacing w:line="320" w:lineRule="exact"/>
              <w:jc w:val="center"/>
              <w:rPr>
                <w:rFonts w:hint="eastAsia" w:ascii="方正黑体_GBK" w:eastAsia="方正黑体_GBK"/>
                <w:bCs/>
                <w:sz w:val="24"/>
              </w:rPr>
            </w:pPr>
            <w:r>
              <w:rPr>
                <w:rFonts w:hint="eastAsia" w:ascii="方正黑体_GBK" w:eastAsia="方正黑体_GBK" w:cs="宋体"/>
                <w:bCs/>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358" w:hRule="atLeast"/>
          <w:jc w:val="center"/>
        </w:trPr>
        <w:tc>
          <w:tcPr>
            <w:tcW w:w="851" w:type="dxa"/>
            <w:vMerge w:val="restart"/>
            <w:vAlign w:val="center"/>
          </w:tcPr>
          <w:p>
            <w:pPr>
              <w:spacing w:line="320" w:lineRule="exact"/>
              <w:rPr>
                <w:rFonts w:hint="eastAsia" w:ascii="方正黑体_GBK" w:eastAsia="方正黑体_GBK"/>
                <w:bCs/>
                <w:sz w:val="24"/>
              </w:rPr>
            </w:pPr>
            <w:r>
              <w:rPr>
                <w:rFonts w:hint="eastAsia" w:ascii="方正黑体_GBK" w:eastAsia="方正黑体_GBK" w:cs="宋体"/>
                <w:bCs/>
                <w:sz w:val="24"/>
              </w:rPr>
              <w:t>健全统筹协调体制</w:t>
            </w:r>
          </w:p>
        </w:tc>
        <w:tc>
          <w:tcPr>
            <w:tcW w:w="5513" w:type="dxa"/>
            <w:vAlign w:val="center"/>
          </w:tcPr>
          <w:p>
            <w:pPr>
              <w:spacing w:line="320" w:lineRule="exact"/>
              <w:rPr>
                <w:rFonts w:hint="eastAsia" w:ascii="方正仿宋_GBK" w:eastAsia="方正仿宋_GBK"/>
                <w:sz w:val="24"/>
              </w:rPr>
            </w:pPr>
            <w:r>
              <w:rPr>
                <w:rFonts w:hint="eastAsia" w:ascii="方正仿宋_GBK" w:eastAsia="方正仿宋_GBK"/>
                <w:bCs/>
                <w:sz w:val="24"/>
              </w:rPr>
              <w:t>1</w:t>
            </w:r>
            <w:r>
              <w:rPr>
                <w:rFonts w:hint="eastAsia" w:ascii="方正仿宋_GBK" w:eastAsia="方正仿宋_GBK"/>
                <w:bCs/>
                <w:spacing w:val="-6"/>
                <w:sz w:val="24"/>
              </w:rPr>
              <w:t>.</w:t>
            </w:r>
            <w:r>
              <w:rPr>
                <w:rFonts w:hint="eastAsia" w:ascii="方正仿宋_GBK" w:eastAsia="方正仿宋_GBK" w:cs="宋体"/>
                <w:spacing w:val="-6"/>
                <w:sz w:val="24"/>
              </w:rPr>
              <w:t xml:space="preserve"> 充分发挥省减灾委对全省防灾减灾救灾工作的统筹指导和综合协调作用。强化省减灾委办公室在灾情信息管理、综合风险防范、群众生活救助、科普宣传教育、长江经济带区域合作等方面的工作职能和能力建设。</w:t>
            </w:r>
          </w:p>
        </w:tc>
        <w:tc>
          <w:tcPr>
            <w:tcW w:w="1187"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省减灾委办公室</w:t>
            </w:r>
          </w:p>
        </w:tc>
        <w:tc>
          <w:tcPr>
            <w:tcW w:w="1680"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省减灾委成员单位</w:t>
            </w:r>
          </w:p>
        </w:tc>
        <w:tc>
          <w:tcPr>
            <w:tcW w:w="829" w:type="dxa"/>
            <w:vAlign w:val="center"/>
          </w:tcPr>
          <w:p>
            <w:pPr>
              <w:spacing w:line="320" w:lineRule="exact"/>
              <w:rPr>
                <w:rFonts w:hint="eastAsia" w:ascii="方正仿宋_GBK" w:eastAsia="方正仿宋_GBK"/>
                <w:sz w:val="24"/>
              </w:rPr>
            </w:pPr>
            <w:r>
              <w:rPr>
                <w:rFonts w:hint="eastAsia" w:ascii="方正仿宋_GBK" w:eastAsia="方正仿宋_GBK"/>
                <w:sz w:val="24"/>
              </w:rPr>
              <w:t>2019</w:t>
            </w:r>
            <w:r>
              <w:rPr>
                <w:rFonts w:hint="eastAsia" w:ascii="方正仿宋_GBK" w:eastAsia="方正仿宋_GBK" w:cs="宋体"/>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29" w:hRule="atLeast"/>
          <w:jc w:val="center"/>
        </w:trPr>
        <w:tc>
          <w:tcPr>
            <w:tcW w:w="851" w:type="dxa"/>
            <w:vMerge w:val="continue"/>
            <w:vAlign w:val="top"/>
          </w:tcPr>
          <w:p>
            <w:pPr>
              <w:spacing w:line="320" w:lineRule="exact"/>
              <w:rPr>
                <w:rFonts w:hint="eastAsia" w:ascii="方正仿宋_GBK" w:eastAsia="方正仿宋_GBK"/>
                <w:bCs/>
                <w:sz w:val="24"/>
              </w:rPr>
            </w:pPr>
          </w:p>
        </w:tc>
        <w:tc>
          <w:tcPr>
            <w:tcW w:w="5513" w:type="dxa"/>
            <w:vAlign w:val="center"/>
          </w:tcPr>
          <w:p>
            <w:pPr>
              <w:spacing w:line="320" w:lineRule="exact"/>
              <w:rPr>
                <w:rFonts w:hint="eastAsia" w:ascii="方正仿宋_GBK" w:eastAsia="方正仿宋_GBK"/>
                <w:bCs/>
                <w:sz w:val="24"/>
              </w:rPr>
            </w:pPr>
            <w:r>
              <w:rPr>
                <w:rFonts w:hint="eastAsia" w:ascii="方正仿宋_GBK" w:eastAsia="方正仿宋_GBK"/>
                <w:sz w:val="24"/>
              </w:rPr>
              <w:t>2.</w:t>
            </w:r>
            <w:r>
              <w:rPr>
                <w:rFonts w:hint="eastAsia" w:ascii="方正仿宋_GBK" w:eastAsia="方正仿宋_GBK" w:cs="宋体"/>
                <w:sz w:val="24"/>
              </w:rPr>
              <w:t>发挥主要灾种防灾减灾救灾指挥机构的防范部署和应急指挥作用，发挥省减灾委成员单位在监测预警、能力建设、应急保障、抢险救援、医疗防疫、恢复重建、社会动员等方面的职能作用。建立各级减灾委与防汛抗旱指挥部、抗震救灾指挥部、森林防火指挥部等机构之间，以及与军队、武警部队之间的工作协同制度，健全工作规程。</w:t>
            </w:r>
          </w:p>
        </w:tc>
        <w:tc>
          <w:tcPr>
            <w:tcW w:w="1187"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省减灾委办公室</w:t>
            </w:r>
          </w:p>
        </w:tc>
        <w:tc>
          <w:tcPr>
            <w:tcW w:w="1680"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省防汛抗旱指挥部办公室、省抗震救灾指挥部办公室、省森林防火指挥部办公室、省突发公共卫生事件应急指挥部办公室</w:t>
            </w:r>
          </w:p>
        </w:tc>
        <w:tc>
          <w:tcPr>
            <w:tcW w:w="829" w:type="dxa"/>
            <w:vAlign w:val="center"/>
          </w:tcPr>
          <w:p>
            <w:pPr>
              <w:spacing w:line="320" w:lineRule="exact"/>
              <w:rPr>
                <w:rFonts w:hint="eastAsia" w:ascii="方正仿宋_GBK" w:eastAsia="方正仿宋_GBK"/>
                <w:sz w:val="24"/>
              </w:rPr>
            </w:pPr>
            <w:r>
              <w:rPr>
                <w:rFonts w:hint="eastAsia" w:ascii="方正仿宋_GBK" w:eastAsia="方正仿宋_GBK"/>
                <w:sz w:val="24"/>
              </w:rPr>
              <w:t>2019</w:t>
            </w:r>
            <w:r>
              <w:rPr>
                <w:rFonts w:hint="eastAsia" w:ascii="方正仿宋_GBK" w:eastAsia="方正仿宋_GBK" w:cs="宋体"/>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00" w:hRule="atLeast"/>
          <w:jc w:val="center"/>
        </w:trPr>
        <w:tc>
          <w:tcPr>
            <w:tcW w:w="851" w:type="dxa"/>
            <w:vMerge w:val="continue"/>
            <w:vAlign w:val="top"/>
          </w:tcPr>
          <w:p>
            <w:pPr>
              <w:spacing w:line="320" w:lineRule="exact"/>
              <w:rPr>
                <w:rFonts w:hint="eastAsia" w:ascii="方正仿宋_GBK" w:eastAsia="方正仿宋_GBK"/>
                <w:bCs/>
                <w:sz w:val="24"/>
              </w:rPr>
            </w:pPr>
          </w:p>
        </w:tc>
        <w:tc>
          <w:tcPr>
            <w:tcW w:w="5513" w:type="dxa"/>
            <w:vAlign w:val="center"/>
          </w:tcPr>
          <w:p>
            <w:pPr>
              <w:spacing w:line="320" w:lineRule="exact"/>
              <w:rPr>
                <w:rFonts w:hint="eastAsia" w:ascii="方正仿宋_GBK" w:eastAsia="方正仿宋_GBK"/>
                <w:sz w:val="24"/>
              </w:rPr>
            </w:pPr>
            <w:r>
              <w:rPr>
                <w:rFonts w:hint="eastAsia" w:ascii="方正仿宋_GBK" w:eastAsia="方正仿宋_GBK"/>
                <w:bCs/>
                <w:sz w:val="24"/>
              </w:rPr>
              <w:t>3.</w:t>
            </w:r>
            <w:r>
              <w:rPr>
                <w:rFonts w:hint="eastAsia" w:ascii="方正仿宋_GBK" w:eastAsia="方正仿宋_GBK" w:cs="宋体"/>
                <w:sz w:val="24"/>
              </w:rPr>
              <w:t>将防灾减灾救灾作为全省公共安全体系建设的重要内容，纳入各级国民经济和社会发展总体规划。</w:t>
            </w:r>
          </w:p>
        </w:tc>
        <w:tc>
          <w:tcPr>
            <w:tcW w:w="1187"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省发改委、</w:t>
            </w:r>
          </w:p>
          <w:p>
            <w:pPr>
              <w:spacing w:line="320" w:lineRule="exact"/>
              <w:rPr>
                <w:rFonts w:hint="eastAsia" w:ascii="方正仿宋_GBK" w:eastAsia="方正仿宋_GBK"/>
                <w:sz w:val="24"/>
              </w:rPr>
            </w:pPr>
            <w:r>
              <w:rPr>
                <w:rFonts w:hint="eastAsia" w:ascii="方正仿宋_GBK" w:eastAsia="方正仿宋_GBK" w:cs="宋体"/>
                <w:sz w:val="24"/>
              </w:rPr>
              <w:t>省减灾委办公室</w:t>
            </w:r>
          </w:p>
        </w:tc>
        <w:tc>
          <w:tcPr>
            <w:tcW w:w="1680"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省减灾委成员单位</w:t>
            </w:r>
          </w:p>
        </w:tc>
        <w:tc>
          <w:tcPr>
            <w:tcW w:w="829" w:type="dxa"/>
            <w:vAlign w:val="center"/>
          </w:tcPr>
          <w:p>
            <w:pPr>
              <w:spacing w:line="320" w:lineRule="exact"/>
              <w:jc w:val="center"/>
              <w:rPr>
                <w:rFonts w:hint="eastAsia" w:ascii="方正仿宋_GBK" w:eastAsia="方正仿宋_GBK" w:cs="宋体"/>
                <w:sz w:val="24"/>
              </w:rPr>
            </w:pPr>
            <w:r>
              <w:rPr>
                <w:rFonts w:hint="eastAsia" w:ascii="方正仿宋_GBK" w:eastAsia="方正仿宋_GBK" w:cs="宋体"/>
                <w:sz w:val="24"/>
              </w:rPr>
              <w:t>持续</w:t>
            </w:r>
          </w:p>
          <w:p>
            <w:pPr>
              <w:spacing w:line="320" w:lineRule="exact"/>
              <w:jc w:val="center"/>
              <w:rPr>
                <w:rFonts w:hint="eastAsia" w:ascii="方正仿宋_GBK" w:eastAsia="方正仿宋_GBK"/>
                <w:sz w:val="24"/>
              </w:rPr>
            </w:pPr>
            <w:r>
              <w:rPr>
                <w:rFonts w:hint="eastAsia" w:ascii="方正仿宋_GBK" w:eastAsia="方正仿宋_GBK" w:cs="宋体"/>
                <w:sz w:val="24"/>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175" w:hRule="atLeast"/>
          <w:jc w:val="center"/>
        </w:trPr>
        <w:tc>
          <w:tcPr>
            <w:tcW w:w="851" w:type="dxa"/>
            <w:vMerge w:val="continue"/>
            <w:vAlign w:val="top"/>
          </w:tcPr>
          <w:p>
            <w:pPr>
              <w:spacing w:line="320" w:lineRule="exact"/>
              <w:rPr>
                <w:rFonts w:hint="eastAsia" w:ascii="方正仿宋_GBK" w:eastAsia="方正仿宋_GBK"/>
                <w:bCs/>
                <w:sz w:val="24"/>
              </w:rPr>
            </w:pPr>
          </w:p>
        </w:tc>
        <w:tc>
          <w:tcPr>
            <w:tcW w:w="5513" w:type="dxa"/>
            <w:vAlign w:val="center"/>
          </w:tcPr>
          <w:p>
            <w:pPr>
              <w:spacing w:line="320" w:lineRule="exact"/>
              <w:rPr>
                <w:rFonts w:hint="eastAsia" w:ascii="方正仿宋_GBK" w:eastAsia="方正仿宋_GBK"/>
                <w:sz w:val="24"/>
              </w:rPr>
            </w:pPr>
            <w:r>
              <w:rPr>
                <w:rFonts w:hint="eastAsia" w:ascii="方正仿宋_GBK" w:eastAsia="方正仿宋_GBK"/>
                <w:sz w:val="24"/>
              </w:rPr>
              <w:t>4.</w:t>
            </w:r>
            <w:r>
              <w:rPr>
                <w:rFonts w:hint="eastAsia" w:ascii="方正仿宋_GBK" w:eastAsia="方正仿宋_GBK" w:cs="宋体"/>
                <w:sz w:val="24"/>
              </w:rPr>
              <w:t>提升灾害高风险区域内学校、医院、居民住房、基础设施及文物保护单位的设防水平和承灾能力。加强部门协调，完善应急避难场所建设、管理、维护相关技术标准和规范。</w:t>
            </w:r>
          </w:p>
        </w:tc>
        <w:tc>
          <w:tcPr>
            <w:tcW w:w="1187"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省住房城乡建设厅</w:t>
            </w:r>
          </w:p>
        </w:tc>
        <w:tc>
          <w:tcPr>
            <w:tcW w:w="1680"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省民政厅、省地震局、省人防办</w:t>
            </w:r>
          </w:p>
        </w:tc>
        <w:tc>
          <w:tcPr>
            <w:tcW w:w="829" w:type="dxa"/>
            <w:vAlign w:val="center"/>
          </w:tcPr>
          <w:p>
            <w:pPr>
              <w:spacing w:line="320" w:lineRule="exact"/>
              <w:jc w:val="center"/>
              <w:rPr>
                <w:rFonts w:hint="eastAsia" w:ascii="方正仿宋_GBK" w:eastAsia="方正仿宋_GBK" w:cs="宋体"/>
                <w:sz w:val="24"/>
              </w:rPr>
            </w:pPr>
            <w:r>
              <w:rPr>
                <w:rFonts w:hint="eastAsia" w:ascii="方正仿宋_GBK" w:eastAsia="方正仿宋_GBK" w:cs="宋体"/>
                <w:sz w:val="24"/>
              </w:rPr>
              <w:t>持续</w:t>
            </w:r>
          </w:p>
          <w:p>
            <w:pPr>
              <w:spacing w:line="320" w:lineRule="exact"/>
              <w:jc w:val="center"/>
              <w:rPr>
                <w:rFonts w:hint="eastAsia" w:ascii="方正仿宋_GBK" w:eastAsia="方正仿宋_GBK"/>
                <w:sz w:val="24"/>
              </w:rPr>
            </w:pPr>
            <w:r>
              <w:rPr>
                <w:rFonts w:hint="eastAsia" w:ascii="方正仿宋_GBK" w:eastAsia="方正仿宋_GBK" w:cs="宋体"/>
                <w:sz w:val="24"/>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399" w:hRule="atLeast"/>
          <w:jc w:val="center"/>
        </w:trPr>
        <w:tc>
          <w:tcPr>
            <w:tcW w:w="851" w:type="dxa"/>
            <w:vMerge w:val="continue"/>
            <w:vAlign w:val="top"/>
          </w:tcPr>
          <w:p>
            <w:pPr>
              <w:spacing w:line="320" w:lineRule="exact"/>
              <w:rPr>
                <w:rFonts w:hint="eastAsia" w:ascii="方正仿宋_GBK" w:eastAsia="方正仿宋_GBK"/>
                <w:bCs/>
                <w:sz w:val="24"/>
              </w:rPr>
            </w:pPr>
          </w:p>
        </w:tc>
        <w:tc>
          <w:tcPr>
            <w:tcW w:w="5513" w:type="dxa"/>
            <w:vAlign w:val="center"/>
          </w:tcPr>
          <w:p>
            <w:pPr>
              <w:spacing w:line="320" w:lineRule="exact"/>
              <w:rPr>
                <w:rFonts w:hint="eastAsia" w:ascii="方正仿宋_GBK" w:eastAsia="方正仿宋_GBK"/>
                <w:sz w:val="24"/>
              </w:rPr>
            </w:pPr>
            <w:r>
              <w:rPr>
                <w:rFonts w:hint="eastAsia" w:ascii="方正仿宋_GBK" w:eastAsia="方正仿宋_GBK"/>
                <w:sz w:val="24"/>
              </w:rPr>
              <w:t>5.</w:t>
            </w:r>
            <w:r>
              <w:rPr>
                <w:rFonts w:hint="eastAsia" w:ascii="方正仿宋_GBK" w:eastAsia="方正仿宋_GBK" w:cs="宋体"/>
                <w:sz w:val="24"/>
              </w:rPr>
              <w:t>探索推进气候适应型城市建设，加快推进海绵城市建设，补齐城市排水防涝设施建设的短板，修复城市水生态，增强城市防涝能力。加强农业防灾减灾基础设施建设，提升农业抗灾能力。</w:t>
            </w:r>
          </w:p>
        </w:tc>
        <w:tc>
          <w:tcPr>
            <w:tcW w:w="1187"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省住房城乡建设厅</w:t>
            </w:r>
          </w:p>
        </w:tc>
        <w:tc>
          <w:tcPr>
            <w:tcW w:w="1680"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省财政厅、省发改委、省农委</w:t>
            </w:r>
          </w:p>
        </w:tc>
        <w:tc>
          <w:tcPr>
            <w:tcW w:w="829" w:type="dxa"/>
            <w:vAlign w:val="center"/>
          </w:tcPr>
          <w:p>
            <w:pPr>
              <w:spacing w:line="320" w:lineRule="exact"/>
              <w:jc w:val="center"/>
              <w:rPr>
                <w:rFonts w:hint="eastAsia" w:ascii="方正仿宋_GBK" w:eastAsia="方正仿宋_GBK" w:cs="宋体"/>
                <w:sz w:val="24"/>
              </w:rPr>
            </w:pPr>
            <w:r>
              <w:rPr>
                <w:rFonts w:hint="eastAsia" w:ascii="方正仿宋_GBK" w:eastAsia="方正仿宋_GBK" w:cs="宋体"/>
                <w:sz w:val="24"/>
              </w:rPr>
              <w:t>持续</w:t>
            </w:r>
          </w:p>
          <w:p>
            <w:pPr>
              <w:spacing w:line="320" w:lineRule="exact"/>
              <w:jc w:val="center"/>
              <w:rPr>
                <w:rFonts w:hint="eastAsia" w:ascii="方正仿宋_GBK" w:eastAsia="方正仿宋_GBK"/>
                <w:sz w:val="24"/>
              </w:rPr>
            </w:pPr>
            <w:r>
              <w:rPr>
                <w:rFonts w:hint="eastAsia" w:ascii="方正仿宋_GBK" w:eastAsia="方正仿宋_GBK" w:cs="宋体"/>
                <w:sz w:val="24"/>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217" w:hRule="atLeast"/>
          <w:jc w:val="center"/>
        </w:trPr>
        <w:tc>
          <w:tcPr>
            <w:tcW w:w="851" w:type="dxa"/>
            <w:vMerge w:val="continue"/>
            <w:vAlign w:val="top"/>
          </w:tcPr>
          <w:p>
            <w:pPr>
              <w:spacing w:line="320" w:lineRule="exact"/>
              <w:rPr>
                <w:rFonts w:hint="eastAsia" w:ascii="方正仿宋_GBK" w:eastAsia="方正仿宋_GBK"/>
                <w:bCs/>
                <w:sz w:val="24"/>
              </w:rPr>
            </w:pPr>
          </w:p>
        </w:tc>
        <w:tc>
          <w:tcPr>
            <w:tcW w:w="5513" w:type="dxa"/>
            <w:vAlign w:val="center"/>
          </w:tcPr>
          <w:p>
            <w:pPr>
              <w:spacing w:line="320" w:lineRule="exact"/>
              <w:rPr>
                <w:rFonts w:hint="eastAsia" w:ascii="方正仿宋_GBK" w:eastAsia="方正仿宋_GBK"/>
                <w:sz w:val="24"/>
              </w:rPr>
            </w:pPr>
            <w:r>
              <w:rPr>
                <w:rFonts w:hint="eastAsia" w:ascii="方正仿宋_GBK" w:eastAsia="方正仿宋_GBK"/>
                <w:sz w:val="24"/>
              </w:rPr>
              <w:t>6.</w:t>
            </w:r>
            <w:r>
              <w:rPr>
                <w:rFonts w:hint="eastAsia" w:ascii="方正仿宋_GBK" w:eastAsia="方正仿宋_GBK" w:cs="宋体"/>
                <w:sz w:val="24"/>
              </w:rPr>
              <w:t>将防灾减灾纳入国民教育计划，加强科普宣传教育基地建设，推进防灾减灾知识和技能进学校、进机关、进企事业单位、进社区、进农村、进家庭。</w:t>
            </w:r>
          </w:p>
        </w:tc>
        <w:tc>
          <w:tcPr>
            <w:tcW w:w="1187"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省教育厅</w:t>
            </w:r>
          </w:p>
        </w:tc>
        <w:tc>
          <w:tcPr>
            <w:tcW w:w="1680"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省民政厅、省委宣传部、省科协、省红十字会</w:t>
            </w:r>
          </w:p>
        </w:tc>
        <w:tc>
          <w:tcPr>
            <w:tcW w:w="829" w:type="dxa"/>
            <w:vAlign w:val="center"/>
          </w:tcPr>
          <w:p>
            <w:pPr>
              <w:spacing w:line="320" w:lineRule="exact"/>
              <w:jc w:val="center"/>
              <w:rPr>
                <w:rFonts w:hint="eastAsia" w:ascii="方正仿宋_GBK" w:eastAsia="方正仿宋_GBK" w:cs="宋体"/>
                <w:sz w:val="24"/>
              </w:rPr>
            </w:pPr>
            <w:r>
              <w:rPr>
                <w:rFonts w:hint="eastAsia" w:ascii="方正仿宋_GBK" w:eastAsia="方正仿宋_GBK" w:cs="宋体"/>
                <w:sz w:val="24"/>
              </w:rPr>
              <w:t>持续</w:t>
            </w:r>
          </w:p>
          <w:p>
            <w:pPr>
              <w:spacing w:line="320" w:lineRule="exact"/>
              <w:jc w:val="center"/>
              <w:rPr>
                <w:rFonts w:hint="eastAsia" w:ascii="方正仿宋_GBK" w:eastAsia="方正仿宋_GBK"/>
                <w:sz w:val="24"/>
              </w:rPr>
            </w:pPr>
            <w:r>
              <w:rPr>
                <w:rFonts w:hint="eastAsia" w:ascii="方正仿宋_GBK" w:eastAsia="方正仿宋_GBK" w:cs="宋体"/>
                <w:sz w:val="24"/>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246" w:hRule="atLeast"/>
          <w:jc w:val="center"/>
        </w:trPr>
        <w:tc>
          <w:tcPr>
            <w:tcW w:w="851" w:type="dxa"/>
            <w:vMerge w:val="continue"/>
            <w:vAlign w:val="top"/>
          </w:tcPr>
          <w:p>
            <w:pPr>
              <w:spacing w:line="320" w:lineRule="exact"/>
              <w:rPr>
                <w:rFonts w:hint="eastAsia" w:ascii="方正仿宋_GBK" w:eastAsia="方正仿宋_GBK"/>
                <w:bCs/>
                <w:sz w:val="24"/>
              </w:rPr>
            </w:pPr>
          </w:p>
        </w:tc>
        <w:tc>
          <w:tcPr>
            <w:tcW w:w="5513" w:type="dxa"/>
            <w:vAlign w:val="center"/>
          </w:tcPr>
          <w:p>
            <w:pPr>
              <w:spacing w:line="320" w:lineRule="exact"/>
              <w:rPr>
                <w:rFonts w:hint="eastAsia" w:ascii="方正仿宋_GBK" w:eastAsia="方正仿宋_GBK"/>
                <w:sz w:val="24"/>
              </w:rPr>
            </w:pPr>
            <w:r>
              <w:rPr>
                <w:rFonts w:hint="eastAsia" w:ascii="方正仿宋_GBK" w:eastAsia="方正仿宋_GBK"/>
                <w:sz w:val="24"/>
              </w:rPr>
              <w:t>7.</w:t>
            </w:r>
            <w:r>
              <w:rPr>
                <w:rFonts w:hint="eastAsia" w:ascii="方正仿宋_GBK" w:eastAsia="方正仿宋_GBK" w:cs="宋体"/>
                <w:sz w:val="24"/>
              </w:rPr>
              <w:t>加强社区层面减灾资源和力量统筹，深入创建综合减灾示范社区，开展省级综合减灾示范县市区创建试点。定期开展社区防灾减灾宣传教育活动，组织居民开展应急救护技能培训和逃生避险演练，增强风险防范意识，提升公众应急避险和自救互救技能。</w:t>
            </w:r>
          </w:p>
        </w:tc>
        <w:tc>
          <w:tcPr>
            <w:tcW w:w="1187"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省民政厅</w:t>
            </w:r>
          </w:p>
        </w:tc>
        <w:tc>
          <w:tcPr>
            <w:tcW w:w="1680"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省卫生计生委</w:t>
            </w:r>
          </w:p>
        </w:tc>
        <w:tc>
          <w:tcPr>
            <w:tcW w:w="829" w:type="dxa"/>
            <w:vAlign w:val="center"/>
          </w:tcPr>
          <w:p>
            <w:pPr>
              <w:spacing w:line="320" w:lineRule="exact"/>
              <w:rPr>
                <w:rFonts w:hint="eastAsia" w:ascii="方正仿宋_GBK" w:eastAsia="方正仿宋_GBK"/>
                <w:sz w:val="24"/>
              </w:rPr>
            </w:pPr>
            <w:r>
              <w:rPr>
                <w:rFonts w:hint="eastAsia" w:ascii="方正仿宋_GBK" w:eastAsia="方正仿宋_GBK"/>
                <w:sz w:val="24"/>
              </w:rPr>
              <w:t>2018</w:t>
            </w:r>
            <w:r>
              <w:rPr>
                <w:rFonts w:hint="eastAsia" w:ascii="方正仿宋_GBK" w:eastAsia="方正仿宋_GBK" w:cs="宋体"/>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69" w:hRule="atLeast"/>
          <w:jc w:val="center"/>
        </w:trPr>
        <w:tc>
          <w:tcPr>
            <w:tcW w:w="851" w:type="dxa"/>
            <w:vMerge w:val="restart"/>
            <w:shd w:val="clear" w:color="auto" w:fill="auto"/>
            <w:vAlign w:val="center"/>
          </w:tcPr>
          <w:p>
            <w:pPr>
              <w:spacing w:line="320" w:lineRule="exact"/>
              <w:rPr>
                <w:rFonts w:hint="eastAsia" w:ascii="方正黑体_GBK" w:eastAsia="方正黑体_GBK" w:cs="宋体"/>
                <w:bCs/>
                <w:sz w:val="24"/>
              </w:rPr>
            </w:pPr>
            <w:r>
              <w:rPr>
                <w:rFonts w:hint="eastAsia" w:ascii="方正黑体_GBK" w:eastAsia="方正黑体_GBK" w:cs="宋体"/>
                <w:bCs/>
                <w:sz w:val="24"/>
              </w:rPr>
              <w:t>健全属地管理体制</w:t>
            </w:r>
          </w:p>
          <w:p>
            <w:pPr>
              <w:spacing w:line="320" w:lineRule="exact"/>
              <w:rPr>
                <w:rFonts w:hint="eastAsia" w:ascii="方正黑体_GBK" w:eastAsia="方正黑体_GBK"/>
                <w:bCs/>
                <w:sz w:val="24"/>
              </w:rPr>
            </w:pPr>
          </w:p>
        </w:tc>
        <w:tc>
          <w:tcPr>
            <w:tcW w:w="5513" w:type="dxa"/>
            <w:vAlign w:val="center"/>
          </w:tcPr>
          <w:p>
            <w:pPr>
              <w:spacing w:line="320" w:lineRule="exact"/>
              <w:rPr>
                <w:rFonts w:hint="eastAsia" w:ascii="方正仿宋_GBK" w:eastAsia="方正仿宋_GBK"/>
                <w:bCs/>
                <w:sz w:val="24"/>
              </w:rPr>
            </w:pPr>
          </w:p>
          <w:p>
            <w:pPr>
              <w:spacing w:line="320" w:lineRule="exact"/>
              <w:rPr>
                <w:rFonts w:hint="eastAsia" w:ascii="方正仿宋_GBK" w:eastAsia="方正仿宋_GBK" w:cs="宋体"/>
                <w:sz w:val="24"/>
              </w:rPr>
            </w:pPr>
            <w:r>
              <w:rPr>
                <w:rFonts w:hint="eastAsia" w:ascii="方正仿宋_GBK" w:eastAsia="方正仿宋_GBK"/>
                <w:bCs/>
                <w:sz w:val="24"/>
              </w:rPr>
              <w:t>8.</w:t>
            </w:r>
            <w:r>
              <w:rPr>
                <w:rFonts w:hint="eastAsia" w:ascii="方正仿宋_GBK" w:eastAsia="方正仿宋_GBK" w:cs="宋体"/>
                <w:sz w:val="24"/>
              </w:rPr>
              <w:t>对达到省级启动响应等级的自然灾害，省减灾委发挥统筹指导和综合协调作用，市州、县市区党委和政府在灾害应对中发挥主体作用，承担主体责任。对未达到省级启动响应等级的自然灾害，受灾市州或县市区的减灾委在当地党委和政府的领导下统筹协调有关组织指挥机构、有关部门开展减灾救灾各项工作。</w:t>
            </w:r>
          </w:p>
          <w:p>
            <w:pPr>
              <w:spacing w:line="320" w:lineRule="exact"/>
              <w:rPr>
                <w:rFonts w:hint="eastAsia" w:ascii="方正仿宋_GBK" w:eastAsia="方正仿宋_GBK"/>
                <w:sz w:val="24"/>
              </w:rPr>
            </w:pPr>
          </w:p>
        </w:tc>
        <w:tc>
          <w:tcPr>
            <w:tcW w:w="1187"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省民政厅</w:t>
            </w:r>
          </w:p>
        </w:tc>
        <w:tc>
          <w:tcPr>
            <w:tcW w:w="1680"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省发改委、省财政厅、省水利厅、省国土资源厅、省交通运输厅、省林业厅、省农委、省气象局</w:t>
            </w:r>
          </w:p>
        </w:tc>
        <w:tc>
          <w:tcPr>
            <w:tcW w:w="829" w:type="dxa"/>
            <w:vAlign w:val="center"/>
          </w:tcPr>
          <w:p>
            <w:pPr>
              <w:spacing w:line="320" w:lineRule="exact"/>
              <w:jc w:val="center"/>
              <w:rPr>
                <w:rFonts w:hint="eastAsia" w:ascii="方正仿宋_GBK" w:eastAsia="方正仿宋_GBK"/>
                <w:sz w:val="24"/>
              </w:rPr>
            </w:pPr>
            <w:r>
              <w:rPr>
                <w:rFonts w:hint="eastAsia" w:ascii="方正仿宋_GBK" w:eastAsia="方正仿宋_GBK"/>
                <w:sz w:val="24"/>
              </w:rPr>
              <w:t>持续</w:t>
            </w:r>
          </w:p>
          <w:p>
            <w:pPr>
              <w:spacing w:line="320" w:lineRule="exact"/>
              <w:jc w:val="center"/>
              <w:rPr>
                <w:rFonts w:hint="eastAsia" w:ascii="方正仿宋_GBK" w:eastAsia="方正仿宋_GBK"/>
                <w:sz w:val="24"/>
              </w:rPr>
            </w:pPr>
            <w:r>
              <w:rPr>
                <w:rFonts w:hint="eastAsia" w:ascii="方正仿宋_GBK" w:eastAsia="方正仿宋_GBK"/>
                <w:sz w:val="24"/>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110" w:hRule="atLeast"/>
          <w:jc w:val="center"/>
        </w:trPr>
        <w:tc>
          <w:tcPr>
            <w:tcW w:w="851" w:type="dxa"/>
            <w:vMerge w:val="continue"/>
            <w:vAlign w:val="top"/>
          </w:tcPr>
          <w:p>
            <w:pPr>
              <w:spacing w:line="320" w:lineRule="exact"/>
              <w:rPr>
                <w:rFonts w:hint="eastAsia" w:ascii="方正仿宋_GBK" w:eastAsia="方正仿宋_GBK"/>
                <w:bCs/>
                <w:sz w:val="24"/>
              </w:rPr>
            </w:pPr>
          </w:p>
        </w:tc>
        <w:tc>
          <w:tcPr>
            <w:tcW w:w="5513" w:type="dxa"/>
            <w:vAlign w:val="center"/>
          </w:tcPr>
          <w:p>
            <w:pPr>
              <w:spacing w:line="320" w:lineRule="exact"/>
              <w:rPr>
                <w:rFonts w:hint="eastAsia" w:ascii="方正仿宋_GBK" w:eastAsia="方正仿宋_GBK"/>
                <w:sz w:val="24"/>
              </w:rPr>
            </w:pPr>
            <w:r>
              <w:rPr>
                <w:rFonts w:hint="eastAsia" w:ascii="方正仿宋_GBK" w:eastAsia="方正仿宋_GBK"/>
                <w:bCs/>
                <w:sz w:val="24"/>
              </w:rPr>
              <w:t>9.</w:t>
            </w:r>
            <w:r>
              <w:rPr>
                <w:rFonts w:hint="eastAsia" w:ascii="方正仿宋_GBK" w:eastAsia="方正仿宋_GBK" w:cs="宋体"/>
                <w:sz w:val="24"/>
              </w:rPr>
              <w:t>特别重大自然灾害灾后恢复重建在中央统筹指导下，坚持省委、省政府统一领导，受灾市州、县市区政府具体负责，灾区群众广泛参与的工作机制。</w:t>
            </w:r>
          </w:p>
        </w:tc>
        <w:tc>
          <w:tcPr>
            <w:tcW w:w="1187"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省民政厅</w:t>
            </w:r>
          </w:p>
        </w:tc>
        <w:tc>
          <w:tcPr>
            <w:tcW w:w="1680"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省发改委、省财政厅、省水利厅、省国土资源厅、省交通运输厅、省林业厅、省农委、省气象局</w:t>
            </w:r>
          </w:p>
        </w:tc>
        <w:tc>
          <w:tcPr>
            <w:tcW w:w="829" w:type="dxa"/>
            <w:vAlign w:val="center"/>
          </w:tcPr>
          <w:p>
            <w:pPr>
              <w:spacing w:line="320" w:lineRule="exact"/>
              <w:jc w:val="center"/>
              <w:rPr>
                <w:rFonts w:hint="eastAsia" w:ascii="方正仿宋_GBK" w:eastAsia="方正仿宋_GBK"/>
                <w:sz w:val="24"/>
              </w:rPr>
            </w:pPr>
            <w:r>
              <w:rPr>
                <w:rFonts w:hint="eastAsia" w:ascii="方正仿宋_GBK" w:eastAsia="方正仿宋_GBK"/>
                <w:sz w:val="24"/>
              </w:rPr>
              <w:t>2019</w:t>
            </w:r>
            <w:r>
              <w:rPr>
                <w:rFonts w:hint="eastAsia" w:ascii="方正仿宋_GBK" w:eastAsia="方正仿宋_GBK" w:cs="宋体"/>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395" w:hRule="atLeast"/>
          <w:jc w:val="center"/>
        </w:trPr>
        <w:tc>
          <w:tcPr>
            <w:tcW w:w="851" w:type="dxa"/>
            <w:vMerge w:val="continue"/>
            <w:vAlign w:val="top"/>
          </w:tcPr>
          <w:p>
            <w:pPr>
              <w:spacing w:line="320" w:lineRule="exact"/>
              <w:rPr>
                <w:rFonts w:hint="eastAsia" w:ascii="方正仿宋_GBK" w:eastAsia="方正仿宋_GBK"/>
                <w:bCs/>
                <w:sz w:val="24"/>
              </w:rPr>
            </w:pPr>
          </w:p>
        </w:tc>
        <w:tc>
          <w:tcPr>
            <w:tcW w:w="5513" w:type="dxa"/>
            <w:vAlign w:val="center"/>
          </w:tcPr>
          <w:p>
            <w:pPr>
              <w:spacing w:line="320" w:lineRule="exact"/>
              <w:rPr>
                <w:rFonts w:hint="eastAsia" w:ascii="方正仿宋_GBK" w:eastAsia="方正仿宋_GBK"/>
                <w:sz w:val="24"/>
              </w:rPr>
            </w:pPr>
            <w:r>
              <w:rPr>
                <w:rFonts w:hint="eastAsia" w:ascii="方正仿宋_GBK" w:eastAsia="方正仿宋_GBK"/>
                <w:sz w:val="24"/>
              </w:rPr>
              <w:t>10.</w:t>
            </w:r>
            <w:r>
              <w:rPr>
                <w:rFonts w:hint="eastAsia" w:ascii="方正仿宋_GBK" w:eastAsia="方正仿宋_GBK" w:cs="宋体"/>
                <w:sz w:val="24"/>
              </w:rPr>
              <w:t>特别重大以外的自然灾害恢复重建工作，由省委、省政府负责统筹指导和支持，受灾市州和县市区比照特别重大自然灾害灾后恢复重建做好各项工作，切实履行主体责任。</w:t>
            </w:r>
          </w:p>
        </w:tc>
        <w:tc>
          <w:tcPr>
            <w:tcW w:w="1187"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省民政厅</w:t>
            </w:r>
          </w:p>
        </w:tc>
        <w:tc>
          <w:tcPr>
            <w:tcW w:w="1680"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省发改委、省财政厅、省水利厅、省国土资源厅、省交通运输厅、省林业厅、省农委、省气象局</w:t>
            </w:r>
          </w:p>
        </w:tc>
        <w:tc>
          <w:tcPr>
            <w:tcW w:w="829" w:type="dxa"/>
            <w:vAlign w:val="center"/>
          </w:tcPr>
          <w:p>
            <w:pPr>
              <w:spacing w:line="320" w:lineRule="exact"/>
              <w:rPr>
                <w:rFonts w:hint="eastAsia" w:ascii="方正仿宋_GBK" w:eastAsia="方正仿宋_GBK"/>
                <w:sz w:val="24"/>
              </w:rPr>
            </w:pPr>
            <w:r>
              <w:rPr>
                <w:rFonts w:hint="eastAsia" w:ascii="方正仿宋_GBK" w:eastAsia="方正仿宋_GBK"/>
                <w:sz w:val="24"/>
              </w:rPr>
              <w:t>2019</w:t>
            </w:r>
            <w:r>
              <w:rPr>
                <w:rFonts w:hint="eastAsia" w:ascii="方正仿宋_GBK" w:eastAsia="方正仿宋_GBK" w:cs="宋体"/>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329" w:hRule="atLeast"/>
          <w:jc w:val="center"/>
        </w:trPr>
        <w:tc>
          <w:tcPr>
            <w:tcW w:w="851" w:type="dxa"/>
            <w:vMerge w:val="continue"/>
            <w:vAlign w:val="top"/>
          </w:tcPr>
          <w:p>
            <w:pPr>
              <w:spacing w:line="320" w:lineRule="exact"/>
              <w:rPr>
                <w:rFonts w:hint="eastAsia" w:ascii="方正仿宋_GBK" w:eastAsia="方正仿宋_GBK"/>
                <w:bCs/>
                <w:sz w:val="24"/>
              </w:rPr>
            </w:pPr>
          </w:p>
        </w:tc>
        <w:tc>
          <w:tcPr>
            <w:tcW w:w="5513" w:type="dxa"/>
            <w:vAlign w:val="center"/>
          </w:tcPr>
          <w:p>
            <w:pPr>
              <w:spacing w:line="320" w:lineRule="exact"/>
              <w:rPr>
                <w:rFonts w:hint="eastAsia" w:ascii="方正仿宋_GBK" w:eastAsia="方正仿宋_GBK"/>
                <w:bCs/>
                <w:sz w:val="24"/>
              </w:rPr>
            </w:pPr>
          </w:p>
          <w:p>
            <w:pPr>
              <w:spacing w:line="320" w:lineRule="exact"/>
              <w:rPr>
                <w:rFonts w:hint="eastAsia" w:ascii="方正仿宋_GBK" w:eastAsia="方正仿宋_GBK" w:cs="宋体"/>
                <w:sz w:val="24"/>
              </w:rPr>
            </w:pPr>
            <w:r>
              <w:rPr>
                <w:rFonts w:hint="eastAsia" w:ascii="方正仿宋_GBK" w:eastAsia="方正仿宋_GBK"/>
                <w:bCs/>
                <w:sz w:val="24"/>
              </w:rPr>
              <w:t>11.</w:t>
            </w:r>
            <w:r>
              <w:rPr>
                <w:rFonts w:hint="eastAsia" w:ascii="方正仿宋_GBK" w:eastAsia="方正仿宋_GBK" w:cs="宋体"/>
                <w:sz w:val="24"/>
              </w:rPr>
              <w:t>建立地方党委、政府请求军队和武警部队参与抢险救灾的工作制度，完善军地间灾害预报预警、灾情动态、救灾需求、救援进展等信息通报制度。</w:t>
            </w:r>
          </w:p>
          <w:p>
            <w:pPr>
              <w:spacing w:line="320" w:lineRule="exact"/>
              <w:rPr>
                <w:rFonts w:hint="eastAsia" w:ascii="方正仿宋_GBK" w:eastAsia="方正仿宋_GBK"/>
                <w:sz w:val="24"/>
              </w:rPr>
            </w:pPr>
          </w:p>
        </w:tc>
        <w:tc>
          <w:tcPr>
            <w:tcW w:w="1187"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省减灾委办公室</w:t>
            </w:r>
          </w:p>
        </w:tc>
        <w:tc>
          <w:tcPr>
            <w:tcW w:w="1680"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省军区战备建设局、武警湖南省总队</w:t>
            </w:r>
          </w:p>
        </w:tc>
        <w:tc>
          <w:tcPr>
            <w:tcW w:w="829" w:type="dxa"/>
            <w:vAlign w:val="center"/>
          </w:tcPr>
          <w:p>
            <w:pPr>
              <w:spacing w:line="320" w:lineRule="exact"/>
              <w:rPr>
                <w:rFonts w:hint="eastAsia" w:ascii="方正仿宋_GBK" w:eastAsia="方正仿宋_GBK"/>
                <w:sz w:val="24"/>
              </w:rPr>
            </w:pPr>
            <w:r>
              <w:rPr>
                <w:rFonts w:hint="eastAsia" w:ascii="方正仿宋_GBK" w:eastAsia="方正仿宋_GBK"/>
                <w:sz w:val="24"/>
              </w:rPr>
              <w:t>2018</w:t>
            </w:r>
            <w:r>
              <w:rPr>
                <w:rFonts w:hint="eastAsia" w:ascii="方正仿宋_GBK" w:eastAsia="方正仿宋_GBK" w:cs="宋体"/>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261" w:hRule="atLeast"/>
          <w:jc w:val="center"/>
        </w:trPr>
        <w:tc>
          <w:tcPr>
            <w:tcW w:w="851" w:type="dxa"/>
            <w:vMerge w:val="continue"/>
            <w:vAlign w:val="top"/>
          </w:tcPr>
          <w:p>
            <w:pPr>
              <w:spacing w:line="320" w:lineRule="exact"/>
              <w:rPr>
                <w:rFonts w:hint="eastAsia" w:ascii="方正仿宋_GBK" w:eastAsia="方正仿宋_GBK"/>
                <w:bCs/>
                <w:sz w:val="24"/>
              </w:rPr>
            </w:pPr>
          </w:p>
        </w:tc>
        <w:tc>
          <w:tcPr>
            <w:tcW w:w="5513" w:type="dxa"/>
            <w:vAlign w:val="center"/>
          </w:tcPr>
          <w:p>
            <w:pPr>
              <w:spacing w:line="320" w:lineRule="exact"/>
              <w:rPr>
                <w:rFonts w:hint="eastAsia" w:ascii="方正仿宋_GBK" w:eastAsia="方正仿宋_GBK"/>
                <w:sz w:val="24"/>
              </w:rPr>
            </w:pPr>
          </w:p>
          <w:p>
            <w:pPr>
              <w:spacing w:line="320" w:lineRule="exact"/>
              <w:rPr>
                <w:rFonts w:hint="eastAsia" w:ascii="方正仿宋_GBK" w:eastAsia="方正仿宋_GBK" w:cs="宋体"/>
                <w:sz w:val="24"/>
              </w:rPr>
            </w:pPr>
            <w:r>
              <w:rPr>
                <w:rFonts w:hint="eastAsia" w:ascii="方正仿宋_GBK" w:eastAsia="方正仿宋_GBK"/>
                <w:sz w:val="24"/>
              </w:rPr>
              <w:t>12.</w:t>
            </w:r>
            <w:r>
              <w:rPr>
                <w:rFonts w:hint="eastAsia" w:ascii="方正仿宋_GBK" w:eastAsia="方正仿宋_GBK" w:cs="宋体"/>
                <w:sz w:val="24"/>
              </w:rPr>
              <w:t>加强救灾应急专业力量建设，充实队伍，配置装备，强化培训，组织军地联合演练，完善以军队、武警部队和民兵预备役为突击力量，以公安消防等专业队伍为骨干力量，以地方和基层应急救援队伍、社会应急救援队伍为辅助力量的灾害应急救援力量体系。将武警部队有关抢险救援应急力量和市县民兵应急营（连）纳入驻在地应急救援力量和组织指挥体系。完善军地联合保障机制，提升军地应急救援协助水平。</w:t>
            </w:r>
          </w:p>
          <w:p>
            <w:pPr>
              <w:spacing w:line="320" w:lineRule="exact"/>
              <w:rPr>
                <w:rFonts w:hint="eastAsia" w:ascii="方正仿宋_GBK" w:eastAsia="方正仿宋_GBK"/>
                <w:sz w:val="24"/>
              </w:rPr>
            </w:pPr>
          </w:p>
        </w:tc>
        <w:tc>
          <w:tcPr>
            <w:tcW w:w="1187"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省减灾委办公室</w:t>
            </w:r>
          </w:p>
        </w:tc>
        <w:tc>
          <w:tcPr>
            <w:tcW w:w="1680"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省军区战备建设局、武警湖南省总队、省公安厅</w:t>
            </w:r>
          </w:p>
        </w:tc>
        <w:tc>
          <w:tcPr>
            <w:tcW w:w="829" w:type="dxa"/>
            <w:vAlign w:val="center"/>
          </w:tcPr>
          <w:p>
            <w:pPr>
              <w:spacing w:line="320" w:lineRule="exact"/>
              <w:rPr>
                <w:rFonts w:hint="eastAsia" w:ascii="方正仿宋_GBK" w:eastAsia="方正仿宋_GBK"/>
                <w:sz w:val="24"/>
              </w:rPr>
            </w:pPr>
            <w:r>
              <w:rPr>
                <w:rFonts w:hint="eastAsia" w:ascii="方正仿宋_GBK" w:eastAsia="方正仿宋_GBK"/>
                <w:sz w:val="24"/>
              </w:rPr>
              <w:t>2019</w:t>
            </w:r>
            <w:r>
              <w:rPr>
                <w:rFonts w:hint="eastAsia" w:ascii="方正仿宋_GBK" w:eastAsia="方正仿宋_GBK" w:cs="宋体"/>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514" w:hRule="atLeast"/>
          <w:jc w:val="center"/>
        </w:trPr>
        <w:tc>
          <w:tcPr>
            <w:tcW w:w="851" w:type="dxa"/>
            <w:vMerge w:val="restart"/>
            <w:shd w:val="clear" w:color="auto" w:fill="auto"/>
            <w:vAlign w:val="center"/>
          </w:tcPr>
          <w:p>
            <w:pPr>
              <w:spacing w:line="320" w:lineRule="exact"/>
              <w:rPr>
                <w:rFonts w:hint="eastAsia" w:ascii="方正仿宋_GBK" w:eastAsia="方正仿宋_GBK"/>
                <w:bCs/>
                <w:sz w:val="24"/>
              </w:rPr>
            </w:pPr>
            <w:r>
              <w:rPr>
                <w:rFonts w:hint="eastAsia" w:ascii="方正黑体_GBK" w:eastAsia="方正黑体_GBK" w:cs="宋体"/>
                <w:bCs/>
                <w:sz w:val="24"/>
              </w:rPr>
              <w:t>完善社会力量和市场参与机制</w:t>
            </w:r>
          </w:p>
        </w:tc>
        <w:tc>
          <w:tcPr>
            <w:tcW w:w="5513" w:type="dxa"/>
            <w:vAlign w:val="center"/>
          </w:tcPr>
          <w:p>
            <w:pPr>
              <w:spacing w:line="320" w:lineRule="exact"/>
              <w:rPr>
                <w:rFonts w:hint="eastAsia" w:ascii="方正仿宋_GBK" w:eastAsia="方正仿宋_GBK"/>
                <w:sz w:val="24"/>
              </w:rPr>
            </w:pPr>
            <w:r>
              <w:rPr>
                <w:rFonts w:hint="eastAsia" w:ascii="方正仿宋_GBK" w:eastAsia="方正仿宋_GBK"/>
                <w:sz w:val="24"/>
              </w:rPr>
              <w:t>13.</w:t>
            </w:r>
            <w:r>
              <w:rPr>
                <w:rFonts w:hint="eastAsia" w:ascii="方正仿宋_GBK" w:eastAsia="方正仿宋_GBK" w:cs="宋体"/>
                <w:sz w:val="24"/>
              </w:rPr>
              <w:t>研究制定和完善社会力量参与防灾减灾救灾的相关政策法规、行业标准、行为准则。搭建社会组织、志愿者等社会力量参与的协调服务平台和信息导向平台。</w:t>
            </w:r>
          </w:p>
        </w:tc>
        <w:tc>
          <w:tcPr>
            <w:tcW w:w="1187"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省民政厅</w:t>
            </w:r>
          </w:p>
        </w:tc>
        <w:tc>
          <w:tcPr>
            <w:tcW w:w="1680"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团省委、省红十字会</w:t>
            </w:r>
          </w:p>
        </w:tc>
        <w:tc>
          <w:tcPr>
            <w:tcW w:w="829" w:type="dxa"/>
            <w:vAlign w:val="center"/>
          </w:tcPr>
          <w:p>
            <w:pPr>
              <w:spacing w:line="320" w:lineRule="exact"/>
              <w:rPr>
                <w:rFonts w:hint="eastAsia" w:ascii="方正仿宋_GBK" w:eastAsia="方正仿宋_GBK"/>
                <w:sz w:val="24"/>
              </w:rPr>
            </w:pPr>
            <w:r>
              <w:rPr>
                <w:rFonts w:hint="eastAsia" w:ascii="方正仿宋_GBK" w:eastAsia="方正仿宋_GBK"/>
                <w:sz w:val="24"/>
              </w:rPr>
              <w:t>2018</w:t>
            </w:r>
            <w:r>
              <w:rPr>
                <w:rFonts w:hint="eastAsia" w:ascii="方正仿宋_GBK" w:eastAsia="方正仿宋_GBK" w:cs="宋体"/>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623" w:hRule="atLeast"/>
          <w:jc w:val="center"/>
        </w:trPr>
        <w:tc>
          <w:tcPr>
            <w:tcW w:w="851" w:type="dxa"/>
            <w:vMerge w:val="continue"/>
            <w:shd w:val="clear" w:color="auto" w:fill="auto"/>
            <w:vAlign w:val="center"/>
          </w:tcPr>
          <w:p>
            <w:pPr>
              <w:spacing w:line="320" w:lineRule="exact"/>
              <w:rPr>
                <w:rFonts w:hint="eastAsia" w:ascii="方正仿宋_GBK" w:eastAsia="方正仿宋_GBK"/>
                <w:bCs/>
                <w:sz w:val="24"/>
              </w:rPr>
            </w:pPr>
          </w:p>
        </w:tc>
        <w:tc>
          <w:tcPr>
            <w:tcW w:w="5513" w:type="dxa"/>
            <w:vAlign w:val="center"/>
          </w:tcPr>
          <w:p>
            <w:pPr>
              <w:spacing w:line="320" w:lineRule="exact"/>
              <w:rPr>
                <w:rFonts w:hint="eastAsia" w:ascii="方正仿宋_GBK" w:eastAsia="方正仿宋_GBK"/>
                <w:sz w:val="24"/>
              </w:rPr>
            </w:pPr>
            <w:r>
              <w:rPr>
                <w:rFonts w:hint="eastAsia" w:ascii="方正仿宋_GBK" w:eastAsia="方正仿宋_GBK"/>
                <w:sz w:val="24"/>
              </w:rPr>
              <w:t>14.</w:t>
            </w:r>
            <w:r>
              <w:rPr>
                <w:rFonts w:hint="eastAsia" w:ascii="方正仿宋_GBK" w:eastAsia="方正仿宋_GBK" w:cs="宋体"/>
                <w:sz w:val="24"/>
              </w:rPr>
              <w:t>完善政府与社会力量协同救灾联动机制，落实税收优惠、人身保险、装备提供、业务培训、政府购买服务等支持措施。建立健全救灾捐赠导向机制。建立社会力量参与救灾行动的评估和监管机制。全面构建政府主导、部门协作、多方参与、协调联动、共同应对的全省社会力量参与防灾减灾救灾工作新格局。</w:t>
            </w:r>
          </w:p>
        </w:tc>
        <w:tc>
          <w:tcPr>
            <w:tcW w:w="1187"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省民政厅</w:t>
            </w:r>
          </w:p>
        </w:tc>
        <w:tc>
          <w:tcPr>
            <w:tcW w:w="1680"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省地税局、省国税局、团省委、省红十字会</w:t>
            </w:r>
          </w:p>
          <w:p>
            <w:pPr>
              <w:spacing w:line="320" w:lineRule="exact"/>
              <w:rPr>
                <w:rFonts w:hint="eastAsia" w:ascii="方正仿宋_GBK" w:eastAsia="方正仿宋_GBK"/>
                <w:sz w:val="24"/>
              </w:rPr>
            </w:pPr>
          </w:p>
        </w:tc>
        <w:tc>
          <w:tcPr>
            <w:tcW w:w="829" w:type="dxa"/>
            <w:vAlign w:val="center"/>
          </w:tcPr>
          <w:p>
            <w:pPr>
              <w:spacing w:line="320" w:lineRule="exact"/>
              <w:rPr>
                <w:rFonts w:hint="eastAsia" w:ascii="方正仿宋_GBK" w:eastAsia="方正仿宋_GBK"/>
                <w:sz w:val="24"/>
              </w:rPr>
            </w:pPr>
            <w:r>
              <w:rPr>
                <w:rFonts w:hint="eastAsia" w:ascii="方正仿宋_GBK" w:eastAsia="方正仿宋_GBK"/>
                <w:sz w:val="24"/>
              </w:rPr>
              <w:t>2019</w:t>
            </w:r>
            <w:r>
              <w:rPr>
                <w:rFonts w:hint="eastAsia" w:ascii="方正仿宋_GBK" w:eastAsia="方正仿宋_GBK" w:cs="宋体"/>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413" w:hRule="atLeast"/>
          <w:jc w:val="center"/>
        </w:trPr>
        <w:tc>
          <w:tcPr>
            <w:tcW w:w="851" w:type="dxa"/>
            <w:vMerge w:val="continue"/>
            <w:shd w:val="clear" w:color="auto" w:fill="auto"/>
            <w:vAlign w:val="top"/>
          </w:tcPr>
          <w:p>
            <w:pPr>
              <w:spacing w:line="320" w:lineRule="exact"/>
              <w:rPr>
                <w:rFonts w:hint="eastAsia" w:ascii="方正仿宋_GBK" w:eastAsia="方正仿宋_GBK"/>
                <w:bCs/>
                <w:sz w:val="24"/>
              </w:rPr>
            </w:pPr>
          </w:p>
        </w:tc>
        <w:tc>
          <w:tcPr>
            <w:tcW w:w="5513" w:type="dxa"/>
            <w:vAlign w:val="center"/>
          </w:tcPr>
          <w:p>
            <w:pPr>
              <w:spacing w:line="320" w:lineRule="exact"/>
              <w:rPr>
                <w:rFonts w:hint="eastAsia" w:ascii="方正仿宋_GBK" w:eastAsia="方正仿宋_GBK"/>
                <w:sz w:val="24"/>
              </w:rPr>
            </w:pPr>
            <w:r>
              <w:rPr>
                <w:rFonts w:hint="eastAsia" w:ascii="方正仿宋_GBK" w:eastAsia="方正仿宋_GBK"/>
                <w:sz w:val="24"/>
              </w:rPr>
              <w:t>15.</w:t>
            </w:r>
            <w:r>
              <w:rPr>
                <w:rFonts w:hint="eastAsia" w:ascii="方正仿宋_GBK" w:eastAsia="方正仿宋_GBK" w:cs="宋体"/>
                <w:sz w:val="24"/>
              </w:rPr>
              <w:t>积极开发符合社会需要的农业保险、自然灾害公共责任保险、城镇居民住房保险、意外伤害保险等险种，不断扩大政策性农房保险覆盖面。</w:t>
            </w:r>
          </w:p>
        </w:tc>
        <w:tc>
          <w:tcPr>
            <w:tcW w:w="1187" w:type="dxa"/>
            <w:vAlign w:val="center"/>
          </w:tcPr>
          <w:p>
            <w:pPr>
              <w:spacing w:line="320" w:lineRule="exact"/>
              <w:rPr>
                <w:rFonts w:hint="eastAsia" w:ascii="方正仿宋_GBK" w:eastAsia="方正仿宋_GBK"/>
                <w:spacing w:val="-20"/>
                <w:sz w:val="24"/>
              </w:rPr>
            </w:pPr>
            <w:r>
              <w:rPr>
                <w:rFonts w:hint="eastAsia" w:ascii="方正仿宋_GBK" w:eastAsia="方正仿宋_GBK" w:cs="宋体"/>
                <w:spacing w:val="-20"/>
                <w:sz w:val="24"/>
              </w:rPr>
              <w:t>湖南保监局</w:t>
            </w:r>
          </w:p>
          <w:p>
            <w:pPr>
              <w:spacing w:line="320" w:lineRule="exact"/>
              <w:rPr>
                <w:rFonts w:hint="eastAsia" w:ascii="方正仿宋_GBK" w:eastAsia="方正仿宋_GBK"/>
                <w:sz w:val="24"/>
              </w:rPr>
            </w:pPr>
          </w:p>
        </w:tc>
        <w:tc>
          <w:tcPr>
            <w:tcW w:w="1680"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省财政厅、省民政厅、省农委、省地震局</w:t>
            </w:r>
          </w:p>
        </w:tc>
        <w:tc>
          <w:tcPr>
            <w:tcW w:w="829" w:type="dxa"/>
            <w:vAlign w:val="center"/>
          </w:tcPr>
          <w:p>
            <w:pPr>
              <w:spacing w:line="320" w:lineRule="exact"/>
              <w:jc w:val="center"/>
              <w:rPr>
                <w:rFonts w:hint="eastAsia" w:ascii="方正仿宋_GBK" w:eastAsia="方正仿宋_GBK" w:cs="宋体"/>
                <w:sz w:val="24"/>
              </w:rPr>
            </w:pPr>
            <w:r>
              <w:rPr>
                <w:rFonts w:hint="eastAsia" w:ascii="方正仿宋_GBK" w:eastAsia="方正仿宋_GBK" w:cs="宋体"/>
                <w:sz w:val="24"/>
              </w:rPr>
              <w:t>持续</w:t>
            </w:r>
          </w:p>
          <w:p>
            <w:pPr>
              <w:spacing w:line="320" w:lineRule="exact"/>
              <w:jc w:val="center"/>
              <w:rPr>
                <w:rFonts w:hint="eastAsia" w:ascii="方正仿宋_GBK" w:eastAsia="方正仿宋_GBK"/>
                <w:sz w:val="24"/>
              </w:rPr>
            </w:pPr>
            <w:r>
              <w:rPr>
                <w:rFonts w:hint="eastAsia" w:ascii="方正仿宋_GBK" w:eastAsia="方正仿宋_GBK" w:cs="宋体"/>
                <w:sz w:val="24"/>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140" w:hRule="atLeast"/>
          <w:jc w:val="center"/>
        </w:trPr>
        <w:tc>
          <w:tcPr>
            <w:tcW w:w="851" w:type="dxa"/>
            <w:vMerge w:val="continue"/>
            <w:shd w:val="clear" w:color="auto" w:fill="auto"/>
            <w:vAlign w:val="top"/>
          </w:tcPr>
          <w:p>
            <w:pPr>
              <w:spacing w:line="320" w:lineRule="exact"/>
              <w:rPr>
                <w:rFonts w:hint="eastAsia" w:ascii="方正仿宋_GBK" w:eastAsia="方正仿宋_GBK"/>
                <w:bCs/>
                <w:sz w:val="24"/>
              </w:rPr>
            </w:pPr>
          </w:p>
        </w:tc>
        <w:tc>
          <w:tcPr>
            <w:tcW w:w="5513" w:type="dxa"/>
            <w:vAlign w:val="center"/>
          </w:tcPr>
          <w:p>
            <w:pPr>
              <w:spacing w:line="320" w:lineRule="exact"/>
              <w:rPr>
                <w:rFonts w:hint="eastAsia" w:ascii="方正仿宋_GBK" w:eastAsia="方正仿宋_GBK"/>
                <w:sz w:val="24"/>
              </w:rPr>
            </w:pPr>
            <w:r>
              <w:rPr>
                <w:rFonts w:hint="eastAsia" w:ascii="方正仿宋_GBK" w:eastAsia="方正仿宋_GBK"/>
                <w:sz w:val="24"/>
              </w:rPr>
              <w:t>16.</w:t>
            </w:r>
            <w:r>
              <w:rPr>
                <w:rFonts w:hint="eastAsia" w:ascii="方正仿宋_GBK" w:eastAsia="方正仿宋_GBK" w:cs="宋体"/>
                <w:sz w:val="24"/>
              </w:rPr>
              <w:t>加快巨灾保险制度建设，逐步形成财政支持下的多层次巨灾风险分散机制。</w:t>
            </w:r>
          </w:p>
        </w:tc>
        <w:tc>
          <w:tcPr>
            <w:tcW w:w="1187"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省财政厅</w:t>
            </w:r>
          </w:p>
        </w:tc>
        <w:tc>
          <w:tcPr>
            <w:tcW w:w="1680"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湖南保监局、省民政厅、省农委、省地震局</w:t>
            </w:r>
          </w:p>
        </w:tc>
        <w:tc>
          <w:tcPr>
            <w:tcW w:w="829" w:type="dxa"/>
            <w:vAlign w:val="center"/>
          </w:tcPr>
          <w:p>
            <w:pPr>
              <w:spacing w:line="320" w:lineRule="exact"/>
              <w:jc w:val="center"/>
              <w:rPr>
                <w:rFonts w:hint="eastAsia" w:ascii="方正仿宋_GBK" w:eastAsia="方正仿宋_GBK" w:cs="宋体"/>
                <w:sz w:val="24"/>
              </w:rPr>
            </w:pPr>
            <w:r>
              <w:rPr>
                <w:rFonts w:hint="eastAsia" w:ascii="方正仿宋_GBK" w:eastAsia="方正仿宋_GBK" w:cs="宋体"/>
                <w:sz w:val="24"/>
              </w:rPr>
              <w:t>持续</w:t>
            </w:r>
          </w:p>
          <w:p>
            <w:pPr>
              <w:spacing w:line="320" w:lineRule="exact"/>
              <w:jc w:val="center"/>
              <w:rPr>
                <w:rFonts w:hint="eastAsia" w:ascii="方正仿宋_GBK" w:eastAsia="方正仿宋_GBK"/>
                <w:sz w:val="24"/>
              </w:rPr>
            </w:pPr>
            <w:r>
              <w:rPr>
                <w:rFonts w:hint="eastAsia" w:ascii="方正仿宋_GBK" w:eastAsia="方正仿宋_GBK" w:cs="宋体"/>
                <w:sz w:val="24"/>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96" w:hRule="atLeast"/>
          <w:jc w:val="center"/>
        </w:trPr>
        <w:tc>
          <w:tcPr>
            <w:tcW w:w="851" w:type="dxa"/>
            <w:vMerge w:val="restart"/>
            <w:shd w:val="clear" w:color="auto" w:fill="auto"/>
            <w:vAlign w:val="center"/>
          </w:tcPr>
          <w:p>
            <w:pPr>
              <w:spacing w:line="320" w:lineRule="exact"/>
              <w:jc w:val="center"/>
              <w:rPr>
                <w:rFonts w:hint="eastAsia" w:ascii="方正黑体_GBK" w:eastAsia="方正黑体_GBK" w:cs="宋体"/>
                <w:bCs/>
                <w:sz w:val="24"/>
              </w:rPr>
            </w:pPr>
          </w:p>
          <w:p>
            <w:pPr>
              <w:spacing w:line="320" w:lineRule="exact"/>
              <w:jc w:val="center"/>
              <w:rPr>
                <w:rFonts w:hint="eastAsia" w:ascii="方正黑体_GBK" w:eastAsia="方正黑体_GBK" w:cs="宋体"/>
                <w:bCs/>
                <w:sz w:val="24"/>
              </w:rPr>
            </w:pPr>
          </w:p>
          <w:p>
            <w:pPr>
              <w:spacing w:line="320" w:lineRule="exact"/>
              <w:jc w:val="center"/>
              <w:rPr>
                <w:rFonts w:hint="eastAsia" w:ascii="方正黑体_GBK" w:eastAsia="方正黑体_GBK" w:cs="宋体"/>
                <w:bCs/>
                <w:sz w:val="24"/>
              </w:rPr>
            </w:pPr>
          </w:p>
          <w:p>
            <w:pPr>
              <w:spacing w:line="320" w:lineRule="exact"/>
              <w:jc w:val="center"/>
              <w:rPr>
                <w:rFonts w:hint="eastAsia" w:ascii="方正黑体_GBK" w:eastAsia="方正黑体_GBK" w:cs="宋体"/>
                <w:bCs/>
                <w:sz w:val="24"/>
              </w:rPr>
            </w:pPr>
          </w:p>
          <w:p>
            <w:pPr>
              <w:spacing w:line="320" w:lineRule="exact"/>
              <w:jc w:val="center"/>
              <w:rPr>
                <w:rFonts w:hint="eastAsia" w:ascii="方正黑体_GBK" w:eastAsia="方正黑体_GBK" w:cs="宋体"/>
                <w:bCs/>
                <w:sz w:val="24"/>
              </w:rPr>
            </w:pPr>
          </w:p>
          <w:p>
            <w:pPr>
              <w:spacing w:line="320" w:lineRule="exact"/>
              <w:jc w:val="center"/>
              <w:rPr>
                <w:rFonts w:hint="eastAsia" w:ascii="方正黑体_GBK" w:eastAsia="方正黑体_GBK" w:cs="宋体"/>
                <w:bCs/>
                <w:sz w:val="24"/>
              </w:rPr>
            </w:pPr>
          </w:p>
          <w:p>
            <w:pPr>
              <w:spacing w:line="320" w:lineRule="exact"/>
              <w:jc w:val="center"/>
              <w:rPr>
                <w:rFonts w:hint="eastAsia" w:ascii="方正黑体_GBK" w:eastAsia="方正黑体_GBK" w:cs="宋体"/>
                <w:bCs/>
                <w:sz w:val="24"/>
              </w:rPr>
            </w:pPr>
          </w:p>
          <w:p>
            <w:pPr>
              <w:spacing w:line="320" w:lineRule="exact"/>
              <w:jc w:val="center"/>
              <w:rPr>
                <w:rFonts w:hint="eastAsia" w:ascii="方正黑体_GBK" w:eastAsia="方正黑体_GBK" w:cs="宋体"/>
                <w:bCs/>
                <w:sz w:val="24"/>
              </w:rPr>
            </w:pPr>
          </w:p>
          <w:p>
            <w:pPr>
              <w:spacing w:line="320" w:lineRule="exact"/>
              <w:rPr>
                <w:rFonts w:hint="eastAsia" w:ascii="方正黑体_GBK" w:eastAsia="方正黑体_GBK" w:cs="宋体"/>
                <w:bCs/>
                <w:sz w:val="24"/>
              </w:rPr>
            </w:pPr>
            <w:r>
              <w:rPr>
                <w:rFonts w:hint="eastAsia" w:ascii="方正黑体_GBK" w:eastAsia="方正黑体_GBK" w:cs="宋体"/>
                <w:bCs/>
                <w:sz w:val="24"/>
              </w:rPr>
              <w:t>全面提升综合减灾能力</w:t>
            </w:r>
          </w:p>
          <w:p>
            <w:pPr>
              <w:spacing w:line="320" w:lineRule="exact"/>
              <w:jc w:val="center"/>
              <w:rPr>
                <w:rFonts w:hint="eastAsia" w:ascii="方正黑体_GBK" w:eastAsia="方正黑体_GBK" w:cs="宋体"/>
                <w:bCs/>
                <w:sz w:val="24"/>
              </w:rPr>
            </w:pPr>
          </w:p>
          <w:p>
            <w:pPr>
              <w:spacing w:line="320" w:lineRule="exact"/>
              <w:jc w:val="center"/>
              <w:rPr>
                <w:rFonts w:hint="eastAsia" w:ascii="方正黑体_GBK" w:eastAsia="方正黑体_GBK" w:cs="宋体"/>
                <w:bCs/>
                <w:sz w:val="24"/>
              </w:rPr>
            </w:pPr>
          </w:p>
          <w:p>
            <w:pPr>
              <w:spacing w:line="320" w:lineRule="exact"/>
              <w:jc w:val="center"/>
              <w:rPr>
                <w:rFonts w:hint="eastAsia" w:ascii="方正黑体_GBK" w:eastAsia="方正黑体_GBK" w:cs="宋体"/>
                <w:bCs/>
                <w:sz w:val="24"/>
              </w:rPr>
            </w:pPr>
          </w:p>
          <w:p>
            <w:pPr>
              <w:spacing w:line="320" w:lineRule="exact"/>
              <w:jc w:val="center"/>
              <w:rPr>
                <w:rFonts w:hint="eastAsia" w:ascii="方正黑体_GBK" w:eastAsia="方正黑体_GBK" w:cs="宋体"/>
                <w:bCs/>
                <w:sz w:val="24"/>
              </w:rPr>
            </w:pPr>
          </w:p>
          <w:p>
            <w:pPr>
              <w:spacing w:line="320" w:lineRule="exact"/>
              <w:jc w:val="center"/>
              <w:rPr>
                <w:rFonts w:hint="eastAsia" w:ascii="方正黑体_GBK" w:eastAsia="方正黑体_GBK" w:cs="宋体"/>
                <w:bCs/>
                <w:sz w:val="24"/>
              </w:rPr>
            </w:pPr>
          </w:p>
          <w:p>
            <w:pPr>
              <w:spacing w:line="320" w:lineRule="exact"/>
              <w:jc w:val="center"/>
              <w:rPr>
                <w:rFonts w:hint="eastAsia" w:ascii="方正黑体_GBK" w:eastAsia="方正黑体_GBK" w:cs="宋体"/>
                <w:bCs/>
                <w:sz w:val="24"/>
              </w:rPr>
            </w:pPr>
          </w:p>
          <w:p>
            <w:pPr>
              <w:spacing w:line="320" w:lineRule="exact"/>
              <w:jc w:val="center"/>
              <w:rPr>
                <w:rFonts w:hint="eastAsia" w:ascii="方正黑体_GBK" w:eastAsia="方正黑体_GBK" w:cs="宋体"/>
                <w:bCs/>
                <w:sz w:val="24"/>
              </w:rPr>
            </w:pPr>
          </w:p>
          <w:p>
            <w:pPr>
              <w:spacing w:line="320" w:lineRule="exact"/>
              <w:jc w:val="center"/>
              <w:rPr>
                <w:rFonts w:hint="eastAsia" w:ascii="方正黑体_GBK" w:eastAsia="方正黑体_GBK" w:cs="宋体"/>
                <w:bCs/>
                <w:sz w:val="24"/>
              </w:rPr>
            </w:pPr>
          </w:p>
          <w:p>
            <w:pPr>
              <w:spacing w:line="320" w:lineRule="exact"/>
              <w:jc w:val="center"/>
              <w:rPr>
                <w:rFonts w:hint="eastAsia" w:ascii="方正黑体_GBK" w:eastAsia="方正黑体_GBK" w:cs="宋体"/>
                <w:bCs/>
                <w:sz w:val="24"/>
              </w:rPr>
            </w:pPr>
          </w:p>
          <w:p>
            <w:pPr>
              <w:spacing w:line="320" w:lineRule="exact"/>
              <w:jc w:val="center"/>
              <w:rPr>
                <w:rFonts w:hint="eastAsia" w:ascii="方正黑体_GBK" w:eastAsia="方正黑体_GBK" w:cs="宋体"/>
                <w:bCs/>
                <w:sz w:val="24"/>
              </w:rPr>
            </w:pPr>
          </w:p>
          <w:p>
            <w:pPr>
              <w:spacing w:line="320" w:lineRule="exact"/>
              <w:jc w:val="center"/>
              <w:rPr>
                <w:rFonts w:hint="eastAsia" w:ascii="方正黑体_GBK" w:eastAsia="方正黑体_GBK" w:cs="宋体"/>
                <w:bCs/>
                <w:sz w:val="24"/>
              </w:rPr>
            </w:pPr>
          </w:p>
          <w:p>
            <w:pPr>
              <w:spacing w:line="320" w:lineRule="exact"/>
              <w:jc w:val="center"/>
              <w:rPr>
                <w:rFonts w:hint="eastAsia" w:ascii="方正黑体_GBK" w:eastAsia="方正黑体_GBK" w:cs="宋体"/>
                <w:bCs/>
                <w:sz w:val="24"/>
              </w:rPr>
            </w:pPr>
          </w:p>
          <w:p>
            <w:pPr>
              <w:spacing w:line="320" w:lineRule="exact"/>
              <w:jc w:val="center"/>
              <w:rPr>
                <w:rFonts w:hint="eastAsia" w:ascii="方正黑体_GBK" w:eastAsia="方正黑体_GBK" w:cs="宋体"/>
                <w:bCs/>
                <w:sz w:val="24"/>
              </w:rPr>
            </w:pPr>
          </w:p>
          <w:p>
            <w:pPr>
              <w:spacing w:line="320" w:lineRule="exact"/>
              <w:jc w:val="center"/>
              <w:rPr>
                <w:rFonts w:hint="eastAsia" w:ascii="方正黑体_GBK" w:eastAsia="方正黑体_GBK" w:cs="宋体"/>
                <w:bCs/>
                <w:sz w:val="24"/>
              </w:rPr>
            </w:pPr>
          </w:p>
          <w:p>
            <w:pPr>
              <w:spacing w:line="320" w:lineRule="exact"/>
              <w:jc w:val="center"/>
              <w:rPr>
                <w:rFonts w:hint="eastAsia" w:ascii="方正黑体_GBK" w:eastAsia="方正黑体_GBK" w:cs="宋体"/>
                <w:bCs/>
                <w:sz w:val="24"/>
              </w:rPr>
            </w:pPr>
          </w:p>
          <w:p>
            <w:pPr>
              <w:spacing w:line="320" w:lineRule="exact"/>
              <w:jc w:val="center"/>
              <w:rPr>
                <w:rFonts w:hint="eastAsia" w:ascii="方正黑体_GBK" w:eastAsia="方正黑体_GBK" w:cs="宋体"/>
                <w:bCs/>
                <w:sz w:val="24"/>
              </w:rPr>
            </w:pPr>
          </w:p>
          <w:p>
            <w:pPr>
              <w:spacing w:line="320" w:lineRule="exact"/>
              <w:jc w:val="center"/>
              <w:rPr>
                <w:rFonts w:hint="eastAsia" w:ascii="方正黑体_GBK" w:eastAsia="方正黑体_GBK" w:cs="宋体"/>
                <w:bCs/>
                <w:sz w:val="24"/>
              </w:rPr>
            </w:pPr>
          </w:p>
          <w:p>
            <w:pPr>
              <w:spacing w:line="320" w:lineRule="exact"/>
              <w:jc w:val="center"/>
              <w:rPr>
                <w:rFonts w:hint="eastAsia" w:ascii="方正黑体_GBK" w:eastAsia="方正黑体_GBK" w:cs="宋体"/>
                <w:bCs/>
                <w:sz w:val="24"/>
              </w:rPr>
            </w:pPr>
          </w:p>
          <w:p>
            <w:pPr>
              <w:spacing w:line="320" w:lineRule="exact"/>
              <w:jc w:val="center"/>
              <w:rPr>
                <w:rFonts w:hint="eastAsia" w:ascii="方正黑体_GBK" w:eastAsia="方正黑体_GBK" w:cs="宋体"/>
                <w:bCs/>
                <w:sz w:val="24"/>
              </w:rPr>
            </w:pPr>
          </w:p>
          <w:p>
            <w:pPr>
              <w:spacing w:line="320" w:lineRule="exact"/>
              <w:jc w:val="center"/>
              <w:rPr>
                <w:rFonts w:hint="eastAsia" w:ascii="方正黑体_GBK" w:eastAsia="方正黑体_GBK" w:cs="宋体"/>
                <w:bCs/>
                <w:sz w:val="24"/>
              </w:rPr>
            </w:pPr>
          </w:p>
          <w:p>
            <w:pPr>
              <w:spacing w:line="320" w:lineRule="exact"/>
              <w:jc w:val="center"/>
              <w:rPr>
                <w:rFonts w:hint="eastAsia" w:ascii="方正黑体_GBK" w:eastAsia="方正黑体_GBK" w:cs="宋体"/>
                <w:bCs/>
                <w:sz w:val="24"/>
              </w:rPr>
            </w:pPr>
          </w:p>
          <w:p>
            <w:pPr>
              <w:spacing w:line="320" w:lineRule="exact"/>
              <w:jc w:val="center"/>
              <w:rPr>
                <w:rFonts w:hint="eastAsia" w:ascii="方正黑体_GBK" w:eastAsia="方正黑体_GBK" w:cs="宋体"/>
                <w:bCs/>
                <w:sz w:val="24"/>
              </w:rPr>
            </w:pPr>
          </w:p>
          <w:p>
            <w:pPr>
              <w:spacing w:line="320" w:lineRule="exact"/>
              <w:jc w:val="center"/>
              <w:rPr>
                <w:rFonts w:hint="eastAsia" w:ascii="方正黑体_GBK" w:eastAsia="方正黑体_GBK" w:cs="宋体"/>
                <w:bCs/>
                <w:sz w:val="24"/>
              </w:rPr>
            </w:pPr>
          </w:p>
          <w:p>
            <w:pPr>
              <w:spacing w:line="320" w:lineRule="exact"/>
              <w:jc w:val="center"/>
              <w:rPr>
                <w:rFonts w:hint="eastAsia" w:ascii="方正黑体_GBK" w:eastAsia="方正黑体_GBK" w:cs="宋体"/>
                <w:bCs/>
                <w:sz w:val="24"/>
              </w:rPr>
            </w:pPr>
          </w:p>
          <w:p>
            <w:pPr>
              <w:spacing w:line="320" w:lineRule="exact"/>
              <w:jc w:val="center"/>
              <w:rPr>
                <w:rFonts w:hint="eastAsia" w:ascii="方正黑体_GBK" w:eastAsia="方正黑体_GBK" w:cs="宋体"/>
                <w:bCs/>
                <w:sz w:val="24"/>
              </w:rPr>
            </w:pPr>
          </w:p>
          <w:p>
            <w:pPr>
              <w:spacing w:line="320" w:lineRule="exact"/>
              <w:jc w:val="center"/>
              <w:rPr>
                <w:rFonts w:hint="eastAsia" w:ascii="方正黑体_GBK" w:eastAsia="方正黑体_GBK" w:cs="宋体"/>
                <w:bCs/>
                <w:sz w:val="24"/>
              </w:rPr>
            </w:pPr>
          </w:p>
          <w:p>
            <w:pPr>
              <w:spacing w:line="320" w:lineRule="exact"/>
              <w:jc w:val="center"/>
              <w:rPr>
                <w:rFonts w:hint="eastAsia" w:ascii="方正黑体_GBK" w:eastAsia="方正黑体_GBK" w:cs="宋体"/>
                <w:bCs/>
                <w:sz w:val="24"/>
              </w:rPr>
            </w:pPr>
          </w:p>
          <w:p>
            <w:pPr>
              <w:spacing w:line="320" w:lineRule="exact"/>
              <w:jc w:val="center"/>
              <w:rPr>
                <w:rFonts w:hint="eastAsia" w:ascii="方正仿宋_GBK" w:eastAsia="方正仿宋_GBK"/>
                <w:bCs/>
                <w:sz w:val="24"/>
              </w:rPr>
            </w:pPr>
            <w:r>
              <w:rPr>
                <w:rFonts w:hint="eastAsia" w:ascii="方正黑体_GBK" w:eastAsia="方正黑体_GBK" w:cs="宋体"/>
                <w:bCs/>
                <w:sz w:val="24"/>
              </w:rPr>
              <w:t>全面提升综合减灾能力</w:t>
            </w:r>
          </w:p>
        </w:tc>
        <w:tc>
          <w:tcPr>
            <w:tcW w:w="5513" w:type="dxa"/>
            <w:vAlign w:val="center"/>
          </w:tcPr>
          <w:p>
            <w:pPr>
              <w:spacing w:line="320" w:lineRule="exact"/>
              <w:rPr>
                <w:rFonts w:hint="eastAsia" w:ascii="方正仿宋_GBK" w:eastAsia="方正仿宋_GBK"/>
                <w:sz w:val="24"/>
              </w:rPr>
            </w:pPr>
            <w:r>
              <w:rPr>
                <w:rFonts w:hint="eastAsia" w:ascii="方正仿宋_GBK" w:eastAsia="方正仿宋_GBK"/>
                <w:bCs/>
                <w:sz w:val="24"/>
              </w:rPr>
              <w:t>17.</w:t>
            </w:r>
            <w:r>
              <w:rPr>
                <w:rFonts w:hint="eastAsia" w:ascii="方正仿宋_GBK" w:eastAsia="方正仿宋_GBK" w:cs="宋体"/>
                <w:sz w:val="24"/>
              </w:rPr>
              <w:t>完善灾害风险管理的标准、规范、评价指标体系和技术体系。加快气象、水文、地震、人防、地质、测绘地理信息、农业、林业、卫生计生、疫病疫源等灾害立体监测网和民用空间基础设施建设。加强多灾种和灾害链综合监测，提高自然灾害早期识别能力，建立健全分工合理、职责清晰的自然灾害监测预报预警体系和与灾害特征相适应的预警信息发布制度。加强全省突发事件预警信息发布体系建设，提高灾害预警信息发布的准确性和时效性，有效解决信息发布</w:t>
            </w:r>
            <w:r>
              <w:rPr>
                <w:rFonts w:hint="eastAsia" w:ascii="方正仿宋_GBK" w:eastAsia="方正仿宋_GBK"/>
                <w:sz w:val="24"/>
              </w:rPr>
              <w:t>“</w:t>
            </w:r>
            <w:r>
              <w:rPr>
                <w:rFonts w:hint="eastAsia" w:ascii="方正仿宋_GBK" w:eastAsia="方正仿宋_GBK" w:cs="宋体"/>
                <w:sz w:val="24"/>
              </w:rPr>
              <w:t>最后一公里</w:t>
            </w:r>
            <w:r>
              <w:rPr>
                <w:rFonts w:hint="eastAsia" w:ascii="方正仿宋_GBK" w:eastAsia="方正仿宋_GBK"/>
                <w:sz w:val="24"/>
              </w:rPr>
              <w:t>”</w:t>
            </w:r>
            <w:r>
              <w:rPr>
                <w:rFonts w:hint="eastAsia" w:ascii="方正仿宋_GBK" w:eastAsia="方正仿宋_GBK" w:cs="宋体"/>
                <w:sz w:val="24"/>
              </w:rPr>
              <w:t>问题。</w:t>
            </w:r>
          </w:p>
        </w:tc>
        <w:tc>
          <w:tcPr>
            <w:tcW w:w="1187"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省应急办</w:t>
            </w:r>
          </w:p>
        </w:tc>
        <w:tc>
          <w:tcPr>
            <w:tcW w:w="1680"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省气象局、省国土资源厅、省水利厅、省农委、省林业厅、省卫生计生委、省地震局、省国防科工局、省人防办</w:t>
            </w:r>
          </w:p>
          <w:p>
            <w:pPr>
              <w:spacing w:line="320" w:lineRule="exact"/>
              <w:rPr>
                <w:rFonts w:hint="eastAsia" w:ascii="方正仿宋_GBK" w:eastAsia="方正仿宋_GBK"/>
                <w:sz w:val="24"/>
              </w:rPr>
            </w:pPr>
          </w:p>
        </w:tc>
        <w:tc>
          <w:tcPr>
            <w:tcW w:w="829" w:type="dxa"/>
            <w:vAlign w:val="center"/>
          </w:tcPr>
          <w:p>
            <w:pPr>
              <w:spacing w:line="320" w:lineRule="exact"/>
              <w:jc w:val="center"/>
              <w:rPr>
                <w:rFonts w:hint="eastAsia" w:ascii="方正仿宋_GBK" w:eastAsia="方正仿宋_GBK" w:cs="宋体"/>
                <w:sz w:val="24"/>
              </w:rPr>
            </w:pPr>
            <w:r>
              <w:rPr>
                <w:rFonts w:hint="eastAsia" w:ascii="方正仿宋_GBK" w:eastAsia="方正仿宋_GBK" w:cs="宋体"/>
                <w:sz w:val="24"/>
              </w:rPr>
              <w:t>持续</w:t>
            </w:r>
          </w:p>
          <w:p>
            <w:pPr>
              <w:spacing w:line="320" w:lineRule="exact"/>
              <w:jc w:val="center"/>
              <w:rPr>
                <w:rFonts w:hint="eastAsia" w:ascii="方正仿宋_GBK" w:eastAsia="方正仿宋_GBK"/>
                <w:sz w:val="24"/>
              </w:rPr>
            </w:pPr>
            <w:r>
              <w:rPr>
                <w:rFonts w:hint="eastAsia" w:ascii="方正仿宋_GBK" w:eastAsia="方正仿宋_GBK" w:cs="宋体"/>
                <w:sz w:val="24"/>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628" w:hRule="atLeast"/>
          <w:jc w:val="center"/>
        </w:trPr>
        <w:tc>
          <w:tcPr>
            <w:tcW w:w="851" w:type="dxa"/>
            <w:vMerge w:val="continue"/>
            <w:shd w:val="clear" w:color="auto" w:fill="auto"/>
            <w:vAlign w:val="center"/>
          </w:tcPr>
          <w:p>
            <w:pPr>
              <w:spacing w:line="320" w:lineRule="exact"/>
              <w:rPr>
                <w:rFonts w:hint="eastAsia" w:ascii="方正黑体_GBK" w:eastAsia="方正黑体_GBK"/>
                <w:bCs/>
                <w:sz w:val="24"/>
              </w:rPr>
            </w:pPr>
          </w:p>
        </w:tc>
        <w:tc>
          <w:tcPr>
            <w:tcW w:w="5513" w:type="dxa"/>
            <w:vAlign w:val="center"/>
          </w:tcPr>
          <w:p>
            <w:pPr>
              <w:spacing w:line="320" w:lineRule="exact"/>
              <w:rPr>
                <w:rFonts w:hint="eastAsia" w:ascii="方正仿宋_GBK" w:eastAsia="方正仿宋_GBK"/>
                <w:sz w:val="24"/>
              </w:rPr>
            </w:pPr>
            <w:r>
              <w:rPr>
                <w:rFonts w:hint="eastAsia" w:ascii="方正仿宋_GBK" w:eastAsia="方正仿宋_GBK"/>
                <w:sz w:val="24"/>
              </w:rPr>
              <w:t>18.</w:t>
            </w:r>
            <w:r>
              <w:rPr>
                <w:rFonts w:hint="eastAsia" w:ascii="方正仿宋_GBK" w:eastAsia="方正仿宋_GBK" w:cs="宋体"/>
                <w:sz w:val="24"/>
              </w:rPr>
              <w:t>推进全省防灾减灾救灾综合信息平台建设，统筹发展灾害信息员队伍，提高政府灾情信息报送与服务的全面性、及时性、准确性和规范性；建设防灾减灾体验馆，提高公众防灾减灾意识和能力；开展以县为单位的自然灾害综合风险与减灾能力普查，建立健全灾害信息风险地理信息系统，建立健全灾害风险数据库，形成支撑自然灾害风险管理的全要素数据支撑体系。</w:t>
            </w:r>
          </w:p>
        </w:tc>
        <w:tc>
          <w:tcPr>
            <w:tcW w:w="1187"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省民政厅</w:t>
            </w:r>
          </w:p>
        </w:tc>
        <w:tc>
          <w:tcPr>
            <w:tcW w:w="1680"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省政府发展研究中心、省减灾委成员单位</w:t>
            </w:r>
          </w:p>
        </w:tc>
        <w:tc>
          <w:tcPr>
            <w:tcW w:w="829" w:type="dxa"/>
            <w:vAlign w:val="center"/>
          </w:tcPr>
          <w:p>
            <w:pPr>
              <w:spacing w:line="320" w:lineRule="exact"/>
              <w:jc w:val="center"/>
              <w:rPr>
                <w:rFonts w:hint="eastAsia" w:ascii="方正仿宋_GBK" w:eastAsia="方正仿宋_GBK" w:cs="宋体"/>
                <w:sz w:val="24"/>
              </w:rPr>
            </w:pPr>
            <w:r>
              <w:rPr>
                <w:rFonts w:hint="eastAsia" w:ascii="方正仿宋_GBK" w:eastAsia="方正仿宋_GBK" w:cs="宋体"/>
                <w:sz w:val="24"/>
              </w:rPr>
              <w:t>持续</w:t>
            </w:r>
          </w:p>
          <w:p>
            <w:pPr>
              <w:spacing w:line="320" w:lineRule="exact"/>
              <w:jc w:val="center"/>
              <w:rPr>
                <w:rFonts w:hint="eastAsia" w:ascii="方正仿宋_GBK" w:eastAsia="方正仿宋_GBK"/>
                <w:sz w:val="24"/>
              </w:rPr>
            </w:pPr>
            <w:r>
              <w:rPr>
                <w:rFonts w:hint="eastAsia" w:ascii="方正仿宋_GBK" w:eastAsia="方正仿宋_GBK" w:cs="宋体"/>
                <w:sz w:val="24"/>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022" w:hRule="atLeast"/>
          <w:jc w:val="center"/>
        </w:trPr>
        <w:tc>
          <w:tcPr>
            <w:tcW w:w="851" w:type="dxa"/>
            <w:vMerge w:val="continue"/>
            <w:shd w:val="clear" w:color="auto" w:fill="auto"/>
            <w:vAlign w:val="top"/>
          </w:tcPr>
          <w:p>
            <w:pPr>
              <w:spacing w:line="320" w:lineRule="exact"/>
              <w:rPr>
                <w:rFonts w:hint="eastAsia" w:ascii="方正仿宋_GBK" w:eastAsia="方正仿宋_GBK"/>
                <w:bCs/>
                <w:sz w:val="24"/>
              </w:rPr>
            </w:pPr>
          </w:p>
        </w:tc>
        <w:tc>
          <w:tcPr>
            <w:tcW w:w="5513" w:type="dxa"/>
            <w:vAlign w:val="center"/>
          </w:tcPr>
          <w:p>
            <w:pPr>
              <w:spacing w:line="320" w:lineRule="exact"/>
              <w:rPr>
                <w:rFonts w:hint="eastAsia" w:ascii="方正仿宋_GBK" w:eastAsia="方正仿宋_GBK"/>
                <w:sz w:val="24"/>
              </w:rPr>
            </w:pPr>
            <w:r>
              <w:rPr>
                <w:rFonts w:hint="eastAsia" w:ascii="方正仿宋_GBK" w:eastAsia="方正仿宋_GBK"/>
                <w:bCs/>
                <w:sz w:val="24"/>
              </w:rPr>
              <w:t>19.</w:t>
            </w:r>
            <w:r>
              <w:rPr>
                <w:rFonts w:hint="eastAsia" w:ascii="方正仿宋_GBK" w:eastAsia="方正仿宋_GBK" w:cs="宋体"/>
                <w:sz w:val="24"/>
              </w:rPr>
              <w:t>落实灾情会商制度，实现各种灾害风险隐患、预警、灾情以及救灾工作动态等信息共享。</w:t>
            </w:r>
          </w:p>
        </w:tc>
        <w:tc>
          <w:tcPr>
            <w:tcW w:w="1187"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省减灾委办公室</w:t>
            </w:r>
          </w:p>
        </w:tc>
        <w:tc>
          <w:tcPr>
            <w:tcW w:w="1680"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省减灾委成员单位</w:t>
            </w:r>
          </w:p>
        </w:tc>
        <w:tc>
          <w:tcPr>
            <w:tcW w:w="829" w:type="dxa"/>
            <w:vAlign w:val="center"/>
          </w:tcPr>
          <w:p>
            <w:pPr>
              <w:spacing w:line="320" w:lineRule="exact"/>
              <w:jc w:val="center"/>
              <w:rPr>
                <w:rFonts w:hint="eastAsia" w:ascii="方正仿宋_GBK" w:eastAsia="方正仿宋_GBK" w:cs="宋体"/>
                <w:sz w:val="24"/>
              </w:rPr>
            </w:pPr>
            <w:r>
              <w:rPr>
                <w:rFonts w:hint="eastAsia" w:ascii="方正仿宋_GBK" w:eastAsia="方正仿宋_GBK" w:cs="宋体"/>
                <w:sz w:val="24"/>
              </w:rPr>
              <w:t>持续</w:t>
            </w:r>
          </w:p>
          <w:p>
            <w:pPr>
              <w:spacing w:line="320" w:lineRule="exact"/>
              <w:jc w:val="center"/>
              <w:rPr>
                <w:rFonts w:hint="eastAsia" w:ascii="方正仿宋_GBK" w:eastAsia="方正仿宋_GBK"/>
                <w:sz w:val="24"/>
              </w:rPr>
            </w:pPr>
            <w:r>
              <w:rPr>
                <w:rFonts w:hint="eastAsia" w:ascii="方正仿宋_GBK" w:eastAsia="方正仿宋_GBK" w:cs="宋体"/>
                <w:sz w:val="24"/>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038" w:hRule="atLeast"/>
          <w:jc w:val="center"/>
        </w:trPr>
        <w:tc>
          <w:tcPr>
            <w:tcW w:w="851" w:type="dxa"/>
            <w:vMerge w:val="continue"/>
            <w:shd w:val="clear" w:color="auto" w:fill="auto"/>
            <w:vAlign w:val="top"/>
          </w:tcPr>
          <w:p>
            <w:pPr>
              <w:spacing w:line="320" w:lineRule="exact"/>
              <w:rPr>
                <w:rFonts w:hint="eastAsia" w:ascii="方正仿宋_GBK" w:eastAsia="方正仿宋_GBK"/>
                <w:bCs/>
                <w:sz w:val="24"/>
              </w:rPr>
            </w:pPr>
          </w:p>
        </w:tc>
        <w:tc>
          <w:tcPr>
            <w:tcW w:w="5513" w:type="dxa"/>
            <w:vAlign w:val="center"/>
          </w:tcPr>
          <w:p>
            <w:pPr>
              <w:spacing w:line="320" w:lineRule="exact"/>
              <w:rPr>
                <w:rFonts w:hint="eastAsia" w:ascii="方正仿宋_GBK" w:eastAsia="方正仿宋_GBK"/>
                <w:sz w:val="24"/>
              </w:rPr>
            </w:pPr>
            <w:r>
              <w:rPr>
                <w:rFonts w:hint="eastAsia" w:ascii="方正仿宋_GBK" w:eastAsia="方正仿宋_GBK"/>
                <w:sz w:val="24"/>
              </w:rPr>
              <w:t>20.</w:t>
            </w:r>
            <w:r>
              <w:rPr>
                <w:rFonts w:hint="eastAsia" w:ascii="方正仿宋_GBK" w:eastAsia="方正仿宋_GBK" w:cs="宋体"/>
                <w:sz w:val="24"/>
              </w:rPr>
              <w:t>推进基层灾害信息员队伍建设，健全自然灾害情况统计制度，规范自然灾害损失综合评估工作流程，建立完善灾害损失评估的联动和共享机制。规范灾害现场应急处置、新闻发布、网络及社会舆情应对等工作流程，完善协同联动机制，加强新闻发言人队伍建设，提高防灾减灾救灾舆情引导能力。</w:t>
            </w:r>
          </w:p>
        </w:tc>
        <w:tc>
          <w:tcPr>
            <w:tcW w:w="1187"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省减灾委办公室</w:t>
            </w:r>
          </w:p>
        </w:tc>
        <w:tc>
          <w:tcPr>
            <w:tcW w:w="1680"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省委宣传部、省新闻出版广电局</w:t>
            </w:r>
          </w:p>
        </w:tc>
        <w:tc>
          <w:tcPr>
            <w:tcW w:w="829" w:type="dxa"/>
            <w:vAlign w:val="center"/>
          </w:tcPr>
          <w:p>
            <w:pPr>
              <w:spacing w:line="320" w:lineRule="exact"/>
              <w:rPr>
                <w:rFonts w:hint="eastAsia" w:ascii="方正仿宋_GBK" w:eastAsia="方正仿宋_GBK"/>
                <w:sz w:val="24"/>
              </w:rPr>
            </w:pPr>
            <w:r>
              <w:rPr>
                <w:rFonts w:hint="eastAsia" w:ascii="方正仿宋_GBK" w:eastAsia="方正仿宋_GBK"/>
                <w:sz w:val="24"/>
              </w:rPr>
              <w:t>2019</w:t>
            </w:r>
            <w:r>
              <w:rPr>
                <w:rFonts w:hint="eastAsia" w:ascii="方正仿宋_GBK" w:eastAsia="方正仿宋_GBK" w:cs="宋体"/>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26" w:hRule="atLeast"/>
          <w:jc w:val="center"/>
        </w:trPr>
        <w:tc>
          <w:tcPr>
            <w:tcW w:w="851" w:type="dxa"/>
            <w:vMerge w:val="continue"/>
            <w:shd w:val="clear" w:color="auto" w:fill="auto"/>
            <w:vAlign w:val="top"/>
          </w:tcPr>
          <w:p>
            <w:pPr>
              <w:spacing w:line="320" w:lineRule="exact"/>
              <w:rPr>
                <w:rFonts w:hint="eastAsia" w:ascii="方正仿宋_GBK" w:eastAsia="方正仿宋_GBK"/>
                <w:bCs/>
                <w:sz w:val="24"/>
              </w:rPr>
            </w:pPr>
          </w:p>
        </w:tc>
        <w:tc>
          <w:tcPr>
            <w:tcW w:w="5513" w:type="dxa"/>
            <w:vAlign w:val="center"/>
          </w:tcPr>
          <w:p>
            <w:pPr>
              <w:spacing w:line="320" w:lineRule="exact"/>
              <w:rPr>
                <w:rFonts w:hint="eastAsia" w:ascii="方正仿宋_GBK" w:eastAsia="方正仿宋_GBK"/>
                <w:sz w:val="24"/>
              </w:rPr>
            </w:pPr>
            <w:r>
              <w:rPr>
                <w:rFonts w:hint="eastAsia" w:ascii="方正仿宋_GBK" w:eastAsia="方正仿宋_GBK"/>
                <w:bCs/>
                <w:sz w:val="24"/>
              </w:rPr>
              <w:t>21.</w:t>
            </w:r>
            <w:r>
              <w:rPr>
                <w:rFonts w:hint="eastAsia" w:ascii="方正仿宋_GBK" w:eastAsia="方正仿宋_GBK" w:cs="宋体"/>
                <w:sz w:val="24"/>
              </w:rPr>
              <w:t>在灾害易发市州、县市区建设救灾物资储备仓库，按规定采取新建、改扩建救灾物资储备库点或协议储备、企业代储、生产能力储备和家庭储备等方式，形成布局合理、构成多元、分级管理、种类齐全、规模适度、功能完备、反应迅速、保障有力，符合我省实际的救灾物资储备体系。丰富物资储备种类，提高物资调配效率和资源统筹利用水平。</w:t>
            </w:r>
          </w:p>
        </w:tc>
        <w:tc>
          <w:tcPr>
            <w:tcW w:w="1187"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省民政厅</w:t>
            </w:r>
          </w:p>
        </w:tc>
        <w:tc>
          <w:tcPr>
            <w:tcW w:w="1680"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省发改委、省财政厅</w:t>
            </w:r>
          </w:p>
        </w:tc>
        <w:tc>
          <w:tcPr>
            <w:tcW w:w="829" w:type="dxa"/>
            <w:vAlign w:val="center"/>
          </w:tcPr>
          <w:p>
            <w:pPr>
              <w:spacing w:line="320" w:lineRule="exact"/>
              <w:jc w:val="center"/>
              <w:rPr>
                <w:rFonts w:hint="eastAsia" w:ascii="方正仿宋_GBK" w:eastAsia="方正仿宋_GBK" w:cs="宋体"/>
                <w:sz w:val="24"/>
              </w:rPr>
            </w:pPr>
            <w:r>
              <w:rPr>
                <w:rFonts w:hint="eastAsia" w:ascii="方正仿宋_GBK" w:eastAsia="方正仿宋_GBK" w:cs="宋体"/>
                <w:sz w:val="24"/>
              </w:rPr>
              <w:t>持续</w:t>
            </w:r>
          </w:p>
          <w:p>
            <w:pPr>
              <w:spacing w:line="320" w:lineRule="exact"/>
              <w:jc w:val="center"/>
              <w:rPr>
                <w:rFonts w:hint="eastAsia" w:ascii="方正仿宋_GBK" w:eastAsia="方正仿宋_GBK"/>
                <w:sz w:val="24"/>
              </w:rPr>
            </w:pPr>
            <w:r>
              <w:rPr>
                <w:rFonts w:hint="eastAsia" w:ascii="方正仿宋_GBK" w:eastAsia="方正仿宋_GBK" w:cs="宋体"/>
                <w:sz w:val="24"/>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0" w:hRule="atLeast"/>
          <w:jc w:val="center"/>
        </w:trPr>
        <w:tc>
          <w:tcPr>
            <w:tcW w:w="851" w:type="dxa"/>
            <w:vMerge w:val="continue"/>
            <w:shd w:val="clear" w:color="auto" w:fill="auto"/>
            <w:vAlign w:val="center"/>
          </w:tcPr>
          <w:p>
            <w:pPr>
              <w:spacing w:line="320" w:lineRule="exact"/>
              <w:rPr>
                <w:rFonts w:hint="eastAsia" w:ascii="方正仿宋_GBK" w:eastAsia="方正仿宋_GBK"/>
                <w:bCs/>
                <w:sz w:val="24"/>
              </w:rPr>
            </w:pPr>
          </w:p>
        </w:tc>
        <w:tc>
          <w:tcPr>
            <w:tcW w:w="5513" w:type="dxa"/>
            <w:vAlign w:val="center"/>
          </w:tcPr>
          <w:p>
            <w:pPr>
              <w:spacing w:line="320" w:lineRule="exact"/>
              <w:rPr>
                <w:rFonts w:hint="eastAsia" w:ascii="方正仿宋_GBK" w:eastAsia="方正仿宋_GBK"/>
                <w:bCs/>
                <w:sz w:val="24"/>
              </w:rPr>
            </w:pPr>
            <w:r>
              <w:rPr>
                <w:rFonts w:hint="eastAsia" w:ascii="方正仿宋_GBK" w:eastAsia="方正仿宋_GBK"/>
                <w:sz w:val="24"/>
              </w:rPr>
              <w:t>22.</w:t>
            </w:r>
            <w:r>
              <w:rPr>
                <w:rFonts w:hint="eastAsia" w:ascii="方正仿宋_GBK" w:eastAsia="方正仿宋_GBK" w:cs="宋体"/>
                <w:sz w:val="24"/>
              </w:rPr>
              <w:t>加强救灾物资储备管理信息化建设。加强应急物流体系建设，完善铁路、公路、水运、航空应急运力储备与调运机制。</w:t>
            </w:r>
          </w:p>
        </w:tc>
        <w:tc>
          <w:tcPr>
            <w:tcW w:w="1187"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省民政厅</w:t>
            </w:r>
          </w:p>
        </w:tc>
        <w:tc>
          <w:tcPr>
            <w:tcW w:w="1680"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省发改委、省财政厅、省商务厅、省交通运输厅、省经信委</w:t>
            </w:r>
          </w:p>
        </w:tc>
        <w:tc>
          <w:tcPr>
            <w:tcW w:w="829" w:type="dxa"/>
            <w:vAlign w:val="center"/>
          </w:tcPr>
          <w:p>
            <w:pPr>
              <w:spacing w:line="320" w:lineRule="exact"/>
              <w:rPr>
                <w:rFonts w:hint="eastAsia" w:ascii="方正仿宋_GBK" w:eastAsia="方正仿宋_GBK"/>
                <w:sz w:val="24"/>
              </w:rPr>
            </w:pPr>
            <w:r>
              <w:rPr>
                <w:rFonts w:hint="eastAsia" w:ascii="方正仿宋_GBK" w:eastAsia="方正仿宋_GBK"/>
                <w:sz w:val="24"/>
              </w:rPr>
              <w:t>2020</w:t>
            </w:r>
            <w:r>
              <w:rPr>
                <w:rFonts w:hint="eastAsia" w:ascii="方正仿宋_GBK" w:eastAsia="方正仿宋_GBK" w:cs="宋体"/>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0" w:hRule="atLeast"/>
          <w:jc w:val="center"/>
        </w:trPr>
        <w:tc>
          <w:tcPr>
            <w:tcW w:w="851" w:type="dxa"/>
            <w:vMerge w:val="continue"/>
            <w:shd w:val="clear" w:color="auto" w:fill="auto"/>
            <w:vAlign w:val="top"/>
          </w:tcPr>
          <w:p>
            <w:pPr>
              <w:spacing w:line="320" w:lineRule="exact"/>
              <w:rPr>
                <w:rFonts w:hint="eastAsia" w:ascii="方正仿宋_GBK" w:eastAsia="方正仿宋_GBK"/>
                <w:bCs/>
                <w:sz w:val="24"/>
              </w:rPr>
            </w:pPr>
          </w:p>
        </w:tc>
        <w:tc>
          <w:tcPr>
            <w:tcW w:w="5513" w:type="dxa"/>
            <w:vAlign w:val="center"/>
          </w:tcPr>
          <w:p>
            <w:pPr>
              <w:spacing w:line="320" w:lineRule="exact"/>
              <w:rPr>
                <w:rFonts w:hint="eastAsia" w:ascii="方正仿宋_GBK" w:eastAsia="方正仿宋_GBK"/>
                <w:sz w:val="24"/>
              </w:rPr>
            </w:pPr>
            <w:r>
              <w:rPr>
                <w:rFonts w:hint="eastAsia" w:ascii="方正仿宋_GBK" w:eastAsia="方正仿宋_GBK"/>
                <w:sz w:val="24"/>
              </w:rPr>
              <w:t>23.</w:t>
            </w:r>
            <w:r>
              <w:rPr>
                <w:rFonts w:hint="eastAsia" w:ascii="方正仿宋_GBK" w:eastAsia="方正仿宋_GBK" w:cs="宋体"/>
                <w:sz w:val="24"/>
              </w:rPr>
              <w:t>积极研发重大自然灾害监测预警产品，加快研制先进的受灾群众安置、防汛抗旱、人员搜救、森林灭火等装备和产品，提高基层减灾和应急救灾装备保障水平。</w:t>
            </w:r>
          </w:p>
        </w:tc>
        <w:tc>
          <w:tcPr>
            <w:tcW w:w="1187"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省科技厅</w:t>
            </w:r>
          </w:p>
        </w:tc>
        <w:tc>
          <w:tcPr>
            <w:tcW w:w="1680"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省水利厅、省林业厅、省民政厅</w:t>
            </w:r>
          </w:p>
        </w:tc>
        <w:tc>
          <w:tcPr>
            <w:tcW w:w="829" w:type="dxa"/>
            <w:vAlign w:val="center"/>
          </w:tcPr>
          <w:p>
            <w:pPr>
              <w:spacing w:line="320" w:lineRule="exact"/>
              <w:jc w:val="center"/>
              <w:rPr>
                <w:rFonts w:hint="eastAsia" w:ascii="方正仿宋_GBK" w:eastAsia="方正仿宋_GBK" w:cs="宋体"/>
                <w:sz w:val="24"/>
              </w:rPr>
            </w:pPr>
            <w:r>
              <w:rPr>
                <w:rFonts w:hint="eastAsia" w:ascii="方正仿宋_GBK" w:eastAsia="方正仿宋_GBK" w:cs="宋体"/>
                <w:sz w:val="24"/>
              </w:rPr>
              <w:t>持续</w:t>
            </w:r>
          </w:p>
          <w:p>
            <w:pPr>
              <w:spacing w:line="320" w:lineRule="exact"/>
              <w:jc w:val="center"/>
              <w:rPr>
                <w:rFonts w:hint="eastAsia" w:ascii="方正仿宋_GBK" w:eastAsia="方正仿宋_GBK"/>
                <w:sz w:val="24"/>
              </w:rPr>
            </w:pPr>
            <w:r>
              <w:rPr>
                <w:rFonts w:hint="eastAsia" w:ascii="方正仿宋_GBK" w:eastAsia="方正仿宋_GBK" w:cs="宋体"/>
                <w:sz w:val="24"/>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33" w:hRule="atLeast"/>
          <w:jc w:val="center"/>
        </w:trPr>
        <w:tc>
          <w:tcPr>
            <w:tcW w:w="851" w:type="dxa"/>
            <w:vMerge w:val="continue"/>
            <w:shd w:val="clear" w:color="auto" w:fill="auto"/>
            <w:vAlign w:val="top"/>
          </w:tcPr>
          <w:p>
            <w:pPr>
              <w:spacing w:line="320" w:lineRule="exact"/>
              <w:rPr>
                <w:rFonts w:hint="eastAsia" w:ascii="方正仿宋_GBK" w:eastAsia="方正仿宋_GBK"/>
                <w:bCs/>
                <w:sz w:val="24"/>
              </w:rPr>
            </w:pPr>
          </w:p>
        </w:tc>
        <w:tc>
          <w:tcPr>
            <w:tcW w:w="5513" w:type="dxa"/>
            <w:vAlign w:val="center"/>
          </w:tcPr>
          <w:p>
            <w:pPr>
              <w:spacing w:line="320" w:lineRule="exact"/>
              <w:rPr>
                <w:rFonts w:hint="eastAsia" w:ascii="方正仿宋_GBK" w:eastAsia="方正仿宋_GBK"/>
                <w:bCs/>
                <w:sz w:val="24"/>
              </w:rPr>
            </w:pPr>
            <w:r>
              <w:rPr>
                <w:rFonts w:hint="eastAsia" w:ascii="方正仿宋_GBK" w:eastAsia="方正仿宋_GBK"/>
                <w:sz w:val="24"/>
              </w:rPr>
              <w:t>24.</w:t>
            </w:r>
            <w:r>
              <w:rPr>
                <w:rFonts w:hint="eastAsia" w:ascii="方正仿宋_GBK" w:eastAsia="方正仿宋_GBK" w:cs="宋体"/>
                <w:sz w:val="24"/>
              </w:rPr>
              <w:t>建立健全应急救援期社会物资、运输工具、设施装备等的征用和补偿机制。探索建立重大救灾装备租赁保障机制。</w:t>
            </w:r>
          </w:p>
        </w:tc>
        <w:tc>
          <w:tcPr>
            <w:tcW w:w="1187"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省民政厅</w:t>
            </w:r>
          </w:p>
        </w:tc>
        <w:tc>
          <w:tcPr>
            <w:tcW w:w="1680"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省财政厅、省交通运输厅、省商务厅</w:t>
            </w:r>
          </w:p>
        </w:tc>
        <w:tc>
          <w:tcPr>
            <w:tcW w:w="829" w:type="dxa"/>
            <w:vAlign w:val="center"/>
          </w:tcPr>
          <w:p>
            <w:pPr>
              <w:spacing w:line="320" w:lineRule="exact"/>
              <w:jc w:val="center"/>
              <w:rPr>
                <w:rFonts w:hint="eastAsia" w:ascii="方正仿宋_GBK" w:eastAsia="方正仿宋_GBK" w:cs="宋体"/>
                <w:sz w:val="24"/>
              </w:rPr>
            </w:pPr>
            <w:r>
              <w:rPr>
                <w:rFonts w:hint="eastAsia" w:ascii="方正仿宋_GBK" w:eastAsia="方正仿宋_GBK" w:cs="宋体"/>
                <w:sz w:val="24"/>
              </w:rPr>
              <w:t>持续</w:t>
            </w:r>
          </w:p>
          <w:p>
            <w:pPr>
              <w:spacing w:line="320" w:lineRule="exact"/>
              <w:jc w:val="center"/>
              <w:rPr>
                <w:rFonts w:hint="eastAsia" w:ascii="方正仿宋_GBK" w:eastAsia="方正仿宋_GBK"/>
                <w:sz w:val="24"/>
              </w:rPr>
            </w:pPr>
            <w:r>
              <w:rPr>
                <w:rFonts w:hint="eastAsia" w:ascii="方正仿宋_GBK" w:eastAsia="方正仿宋_GBK" w:cs="宋体"/>
                <w:sz w:val="24"/>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24" w:hRule="atLeast"/>
          <w:jc w:val="center"/>
        </w:trPr>
        <w:tc>
          <w:tcPr>
            <w:tcW w:w="851" w:type="dxa"/>
            <w:vMerge w:val="continue"/>
            <w:shd w:val="clear" w:color="auto" w:fill="auto"/>
            <w:vAlign w:val="top"/>
          </w:tcPr>
          <w:p>
            <w:pPr>
              <w:spacing w:line="320" w:lineRule="exact"/>
              <w:rPr>
                <w:rFonts w:hint="eastAsia" w:ascii="方正仿宋_GBK" w:eastAsia="方正仿宋_GBK"/>
                <w:bCs/>
                <w:sz w:val="24"/>
              </w:rPr>
            </w:pPr>
          </w:p>
        </w:tc>
        <w:tc>
          <w:tcPr>
            <w:tcW w:w="5513" w:type="dxa"/>
            <w:vAlign w:val="center"/>
          </w:tcPr>
          <w:p>
            <w:pPr>
              <w:spacing w:line="320" w:lineRule="exact"/>
              <w:rPr>
                <w:rFonts w:hint="eastAsia" w:ascii="方正仿宋_GBK" w:eastAsia="方正仿宋_GBK"/>
                <w:bCs/>
                <w:sz w:val="24"/>
              </w:rPr>
            </w:pPr>
            <w:r>
              <w:rPr>
                <w:rFonts w:hint="eastAsia" w:ascii="方正仿宋_GBK" w:eastAsia="方正仿宋_GBK"/>
                <w:bCs/>
                <w:sz w:val="24"/>
              </w:rPr>
              <w:t>25.</w:t>
            </w:r>
            <w:r>
              <w:rPr>
                <w:rFonts w:hint="eastAsia" w:ascii="方正仿宋_GBK" w:eastAsia="方正仿宋_GBK" w:cs="宋体"/>
                <w:sz w:val="24"/>
              </w:rPr>
              <w:t>统筹协调防灾减灾救灾科技资源和力量，充分发挥省减灾委专家委和相关领域专家学者的决策支撑作用，加强防灾减灾救灾人才培养，完善专家咨询制度。</w:t>
            </w:r>
          </w:p>
        </w:tc>
        <w:tc>
          <w:tcPr>
            <w:tcW w:w="1187"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省减灾委办公室</w:t>
            </w:r>
          </w:p>
        </w:tc>
        <w:tc>
          <w:tcPr>
            <w:tcW w:w="1680"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省减灾委成员单位</w:t>
            </w:r>
          </w:p>
        </w:tc>
        <w:tc>
          <w:tcPr>
            <w:tcW w:w="829" w:type="dxa"/>
            <w:vAlign w:val="center"/>
          </w:tcPr>
          <w:p>
            <w:pPr>
              <w:spacing w:line="320" w:lineRule="exact"/>
              <w:jc w:val="center"/>
              <w:rPr>
                <w:rFonts w:hint="eastAsia" w:ascii="方正仿宋_GBK" w:eastAsia="方正仿宋_GBK" w:cs="宋体"/>
                <w:sz w:val="24"/>
              </w:rPr>
            </w:pPr>
            <w:r>
              <w:rPr>
                <w:rFonts w:hint="eastAsia" w:ascii="方正仿宋_GBK" w:eastAsia="方正仿宋_GBK" w:cs="宋体"/>
                <w:sz w:val="24"/>
              </w:rPr>
              <w:t>持续</w:t>
            </w:r>
          </w:p>
          <w:p>
            <w:pPr>
              <w:spacing w:line="320" w:lineRule="exact"/>
              <w:jc w:val="center"/>
              <w:rPr>
                <w:rFonts w:hint="eastAsia" w:ascii="方正仿宋_GBK" w:eastAsia="方正仿宋_GBK"/>
                <w:sz w:val="24"/>
              </w:rPr>
            </w:pPr>
            <w:r>
              <w:rPr>
                <w:rFonts w:hint="eastAsia" w:ascii="方正仿宋_GBK" w:eastAsia="方正仿宋_GBK" w:cs="宋体"/>
                <w:sz w:val="24"/>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02" w:hRule="atLeast"/>
          <w:jc w:val="center"/>
        </w:trPr>
        <w:tc>
          <w:tcPr>
            <w:tcW w:w="851" w:type="dxa"/>
            <w:vMerge w:val="continue"/>
            <w:shd w:val="clear" w:color="auto" w:fill="auto"/>
            <w:vAlign w:val="center"/>
          </w:tcPr>
          <w:p>
            <w:pPr>
              <w:spacing w:line="320" w:lineRule="exact"/>
              <w:rPr>
                <w:rFonts w:hint="eastAsia" w:ascii="方正黑体_GBK" w:eastAsia="方正黑体_GBK"/>
                <w:bCs/>
                <w:sz w:val="24"/>
              </w:rPr>
            </w:pPr>
          </w:p>
        </w:tc>
        <w:tc>
          <w:tcPr>
            <w:tcW w:w="5513" w:type="dxa"/>
            <w:vAlign w:val="center"/>
          </w:tcPr>
          <w:p>
            <w:pPr>
              <w:spacing w:line="320" w:lineRule="exact"/>
              <w:rPr>
                <w:rFonts w:hint="eastAsia" w:ascii="方正仿宋_GBK" w:eastAsia="方正仿宋_GBK"/>
                <w:sz w:val="24"/>
              </w:rPr>
            </w:pPr>
            <w:r>
              <w:rPr>
                <w:rFonts w:hint="eastAsia" w:ascii="方正仿宋_GBK" w:eastAsia="方正仿宋_GBK"/>
                <w:sz w:val="24"/>
              </w:rPr>
              <w:t>26.</w:t>
            </w:r>
            <w:r>
              <w:rPr>
                <w:rFonts w:hint="eastAsia" w:ascii="方正仿宋_GBK" w:eastAsia="方正仿宋_GBK" w:cs="宋体"/>
                <w:sz w:val="24"/>
              </w:rPr>
              <w:t>明确常态减灾和非常态救灾科技支撑工作模式，建立科技支撑防灾减灾救灾工作的政策措施和长效机制。联合省内有关高校、科研机构，突破制约湖南自然灾害监测与预警的重大技术瓶颈，推进</w:t>
            </w:r>
            <w:r>
              <w:rPr>
                <w:rFonts w:hint="eastAsia" w:ascii="方正仿宋_GBK" w:eastAsia="方正仿宋_GBK"/>
                <w:sz w:val="24"/>
              </w:rPr>
              <w:t>“</w:t>
            </w:r>
            <w:r>
              <w:rPr>
                <w:rFonts w:hint="eastAsia" w:ascii="方正仿宋_GBK" w:eastAsia="方正仿宋_GBK" w:cs="宋体"/>
                <w:sz w:val="24"/>
              </w:rPr>
              <w:t>互联网</w:t>
            </w:r>
            <w:r>
              <w:rPr>
                <w:rFonts w:hint="eastAsia" w:ascii="方正仿宋_GBK" w:eastAsia="方正仿宋_GBK"/>
                <w:sz w:val="24"/>
              </w:rPr>
              <w:t>+”</w:t>
            </w:r>
            <w:r>
              <w:rPr>
                <w:rFonts w:hint="eastAsia" w:ascii="方正仿宋_GBK" w:eastAsia="方正仿宋_GBK" w:cs="宋体"/>
                <w:sz w:val="24"/>
              </w:rPr>
              <w:t>、物联网、大数据、云计算、地理信息、移动通信等新理念新技术新方法运用，提高灾害信息获取、模拟仿真、预报预测、风险评估、应急通信与保障能力。</w:t>
            </w:r>
          </w:p>
        </w:tc>
        <w:tc>
          <w:tcPr>
            <w:tcW w:w="1187"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省民政厅</w:t>
            </w:r>
          </w:p>
        </w:tc>
        <w:tc>
          <w:tcPr>
            <w:tcW w:w="1680"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省科技厅、省教育厅、省国土资源厅</w:t>
            </w:r>
          </w:p>
        </w:tc>
        <w:tc>
          <w:tcPr>
            <w:tcW w:w="829" w:type="dxa"/>
            <w:vAlign w:val="center"/>
          </w:tcPr>
          <w:p>
            <w:pPr>
              <w:spacing w:line="320" w:lineRule="exact"/>
              <w:jc w:val="center"/>
              <w:rPr>
                <w:rFonts w:hint="eastAsia" w:ascii="方正仿宋_GBK" w:eastAsia="方正仿宋_GBK"/>
                <w:sz w:val="24"/>
              </w:rPr>
            </w:pPr>
            <w:r>
              <w:rPr>
                <w:rFonts w:hint="eastAsia" w:ascii="方正仿宋_GBK" w:eastAsia="方正仿宋_GBK"/>
                <w:sz w:val="24"/>
              </w:rPr>
              <w:t>持续</w:t>
            </w:r>
          </w:p>
          <w:p>
            <w:pPr>
              <w:spacing w:line="320" w:lineRule="exact"/>
              <w:jc w:val="center"/>
              <w:rPr>
                <w:rFonts w:hint="eastAsia" w:ascii="方正仿宋_GBK" w:eastAsia="方正仿宋_GBK"/>
                <w:sz w:val="24"/>
              </w:rPr>
            </w:pPr>
            <w:r>
              <w:rPr>
                <w:rFonts w:hint="eastAsia" w:ascii="方正仿宋_GBK" w:eastAsia="方正仿宋_GBK"/>
                <w:sz w:val="24"/>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53" w:hRule="atLeast"/>
          <w:jc w:val="center"/>
        </w:trPr>
        <w:tc>
          <w:tcPr>
            <w:tcW w:w="851" w:type="dxa"/>
            <w:vMerge w:val="continue"/>
            <w:shd w:val="clear" w:color="auto" w:fill="auto"/>
            <w:vAlign w:val="top"/>
          </w:tcPr>
          <w:p>
            <w:pPr>
              <w:spacing w:line="320" w:lineRule="exact"/>
              <w:rPr>
                <w:rFonts w:hint="eastAsia" w:ascii="方正仿宋_GBK" w:eastAsia="方正仿宋_GBK"/>
                <w:bCs/>
                <w:sz w:val="24"/>
              </w:rPr>
            </w:pPr>
          </w:p>
        </w:tc>
        <w:tc>
          <w:tcPr>
            <w:tcW w:w="5513" w:type="dxa"/>
            <w:vAlign w:val="center"/>
          </w:tcPr>
          <w:p>
            <w:pPr>
              <w:spacing w:line="320" w:lineRule="exact"/>
              <w:rPr>
                <w:rFonts w:hint="eastAsia" w:ascii="方正仿宋_GBK" w:eastAsia="方正仿宋_GBK"/>
                <w:sz w:val="24"/>
              </w:rPr>
            </w:pPr>
            <w:r>
              <w:rPr>
                <w:rFonts w:hint="eastAsia" w:ascii="方正仿宋_GBK" w:eastAsia="方正仿宋_GBK"/>
                <w:sz w:val="24"/>
              </w:rPr>
              <w:t>27.</w:t>
            </w:r>
            <w:r>
              <w:rPr>
                <w:rFonts w:hint="eastAsia" w:ascii="方正仿宋_GBK" w:eastAsia="方正仿宋_GBK" w:cs="宋体"/>
                <w:sz w:val="24"/>
              </w:rPr>
              <w:t>通过省自然科学基金、省哲学社会科学基金加大对防灾减灾救灾基础理论研究、关键技术研发的立项支持。</w:t>
            </w:r>
          </w:p>
        </w:tc>
        <w:tc>
          <w:tcPr>
            <w:tcW w:w="1187"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省科技厅</w:t>
            </w:r>
          </w:p>
        </w:tc>
        <w:tc>
          <w:tcPr>
            <w:tcW w:w="1680"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省委宣传部、省科协</w:t>
            </w:r>
          </w:p>
        </w:tc>
        <w:tc>
          <w:tcPr>
            <w:tcW w:w="829" w:type="dxa"/>
            <w:vAlign w:val="center"/>
          </w:tcPr>
          <w:p>
            <w:pPr>
              <w:spacing w:line="320" w:lineRule="exact"/>
              <w:rPr>
                <w:rFonts w:hint="eastAsia" w:ascii="方正仿宋_GBK" w:eastAsia="方正仿宋_GBK"/>
                <w:sz w:val="24"/>
              </w:rPr>
            </w:pPr>
            <w:r>
              <w:rPr>
                <w:rFonts w:hint="eastAsia" w:ascii="方正仿宋_GBK" w:eastAsia="方正仿宋_GBK"/>
                <w:sz w:val="24"/>
              </w:rPr>
              <w:t>2019</w:t>
            </w:r>
            <w:r>
              <w:rPr>
                <w:rFonts w:hint="eastAsia" w:ascii="方正仿宋_GBK" w:eastAsia="方正仿宋_GBK" w:cs="宋体"/>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145" w:hRule="atLeast"/>
          <w:jc w:val="center"/>
        </w:trPr>
        <w:tc>
          <w:tcPr>
            <w:tcW w:w="851" w:type="dxa"/>
            <w:shd w:val="clear" w:color="auto" w:fill="auto"/>
            <w:vAlign w:val="top"/>
          </w:tcPr>
          <w:p>
            <w:pPr>
              <w:spacing w:line="320" w:lineRule="exact"/>
              <w:rPr>
                <w:rFonts w:hint="eastAsia" w:ascii="方正仿宋_GBK" w:eastAsia="方正仿宋_GBK"/>
                <w:bCs/>
                <w:sz w:val="24"/>
              </w:rPr>
            </w:pPr>
          </w:p>
        </w:tc>
        <w:tc>
          <w:tcPr>
            <w:tcW w:w="5513" w:type="dxa"/>
            <w:vAlign w:val="center"/>
          </w:tcPr>
          <w:p>
            <w:pPr>
              <w:spacing w:line="320" w:lineRule="exact"/>
              <w:rPr>
                <w:rFonts w:hint="eastAsia" w:ascii="方正仿宋_GBK" w:eastAsia="方正仿宋_GBK"/>
                <w:sz w:val="24"/>
              </w:rPr>
            </w:pPr>
            <w:r>
              <w:rPr>
                <w:rFonts w:hint="eastAsia" w:ascii="方正仿宋_GBK" w:eastAsia="方正仿宋_GBK"/>
                <w:sz w:val="24"/>
              </w:rPr>
              <w:t>28.</w:t>
            </w:r>
            <w:r>
              <w:rPr>
                <w:rFonts w:hint="eastAsia" w:ascii="方正仿宋_GBK" w:eastAsia="方正仿宋_GBK" w:cs="宋体"/>
                <w:sz w:val="24"/>
              </w:rPr>
              <w:t>完善产学研协同创新机制和技术标准体系，推动科研成果的集成转化、示范和推广应用，开展防灾减灾救灾新材料新产品研发，加快推进防灾减灾救灾产业发展。</w:t>
            </w:r>
          </w:p>
        </w:tc>
        <w:tc>
          <w:tcPr>
            <w:tcW w:w="1187"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省质监局</w:t>
            </w:r>
          </w:p>
        </w:tc>
        <w:tc>
          <w:tcPr>
            <w:tcW w:w="1680"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省发改委、省科技厅</w:t>
            </w:r>
          </w:p>
        </w:tc>
        <w:tc>
          <w:tcPr>
            <w:tcW w:w="829" w:type="dxa"/>
            <w:vAlign w:val="center"/>
          </w:tcPr>
          <w:p>
            <w:pPr>
              <w:spacing w:line="320" w:lineRule="exact"/>
              <w:jc w:val="center"/>
              <w:rPr>
                <w:rFonts w:hint="eastAsia" w:ascii="方正仿宋_GBK" w:eastAsia="方正仿宋_GBK"/>
                <w:sz w:val="24"/>
              </w:rPr>
            </w:pPr>
            <w:r>
              <w:rPr>
                <w:rFonts w:hint="eastAsia" w:ascii="方正仿宋_GBK" w:eastAsia="方正仿宋_GBK"/>
                <w:sz w:val="24"/>
              </w:rPr>
              <w:t>持续</w:t>
            </w:r>
          </w:p>
          <w:p>
            <w:pPr>
              <w:spacing w:line="320" w:lineRule="exact"/>
              <w:jc w:val="center"/>
              <w:rPr>
                <w:rFonts w:hint="eastAsia" w:ascii="方正仿宋_GBK" w:eastAsia="方正仿宋_GBK"/>
                <w:sz w:val="24"/>
              </w:rPr>
            </w:pPr>
            <w:r>
              <w:rPr>
                <w:rFonts w:hint="eastAsia" w:ascii="方正仿宋_GBK" w:eastAsia="方正仿宋_GBK"/>
                <w:sz w:val="24"/>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99" w:hRule="atLeast"/>
          <w:jc w:val="center"/>
        </w:trPr>
        <w:tc>
          <w:tcPr>
            <w:tcW w:w="851" w:type="dxa"/>
            <w:vMerge w:val="restart"/>
            <w:shd w:val="clear" w:color="auto" w:fill="auto"/>
            <w:vAlign w:val="center"/>
          </w:tcPr>
          <w:p>
            <w:pPr>
              <w:spacing w:line="320" w:lineRule="exact"/>
              <w:jc w:val="center"/>
              <w:rPr>
                <w:rFonts w:hint="eastAsia" w:ascii="方正仿宋_GBK" w:eastAsia="方正仿宋_GBK"/>
                <w:bCs/>
                <w:sz w:val="24"/>
              </w:rPr>
            </w:pPr>
            <w:r>
              <w:rPr>
                <w:rFonts w:hint="eastAsia" w:ascii="方正黑体_GBK" w:eastAsia="方正黑体_GBK" w:cs="宋体"/>
                <w:bCs/>
                <w:sz w:val="24"/>
              </w:rPr>
              <w:t>切实加强组织领导</w:t>
            </w:r>
          </w:p>
        </w:tc>
        <w:tc>
          <w:tcPr>
            <w:tcW w:w="5513" w:type="dxa"/>
            <w:vAlign w:val="center"/>
          </w:tcPr>
          <w:p>
            <w:pPr>
              <w:spacing w:line="320" w:lineRule="exact"/>
              <w:rPr>
                <w:rFonts w:hint="eastAsia" w:ascii="方正仿宋_GBK" w:eastAsia="方正仿宋_GBK"/>
                <w:sz w:val="24"/>
              </w:rPr>
            </w:pPr>
            <w:r>
              <w:rPr>
                <w:rFonts w:hint="eastAsia" w:ascii="方正仿宋_GBK" w:eastAsia="方正仿宋_GBK"/>
                <w:bCs/>
                <w:sz w:val="24"/>
              </w:rPr>
              <w:t>29.</w:t>
            </w:r>
            <w:r>
              <w:rPr>
                <w:rFonts w:hint="eastAsia" w:ascii="方正仿宋_GBK" w:eastAsia="方正仿宋_GBK" w:cs="宋体"/>
                <w:sz w:val="24"/>
              </w:rPr>
              <w:t>各市州、县市区政府要比照省减灾委和省减灾委办公室，成立相应的组织</w:t>
            </w:r>
            <w:r>
              <w:rPr>
                <w:rFonts w:hint="eastAsia" w:ascii="方正仿宋_GBK" w:eastAsia="方正仿宋_GBK" w:cs="宋体"/>
                <w:bCs/>
                <w:sz w:val="24"/>
              </w:rPr>
              <w:t>架构</w:t>
            </w:r>
            <w:r>
              <w:rPr>
                <w:rFonts w:hint="eastAsia" w:ascii="方正仿宋_GBK" w:eastAsia="方正仿宋_GBK" w:cs="宋体"/>
                <w:sz w:val="24"/>
              </w:rPr>
              <w:t>，统筹协调防灾减灾救灾工作，形成与中央协调一致的省、市州、县市区防灾减灾救灾组织管理体系。</w:t>
            </w:r>
          </w:p>
        </w:tc>
        <w:tc>
          <w:tcPr>
            <w:tcW w:w="1187" w:type="dxa"/>
            <w:vAlign w:val="center"/>
          </w:tcPr>
          <w:p>
            <w:pPr>
              <w:spacing w:line="320" w:lineRule="exact"/>
              <w:rPr>
                <w:rFonts w:hint="eastAsia" w:ascii="方正仿宋_GBK" w:eastAsia="方正仿宋_GBK"/>
                <w:sz w:val="24"/>
              </w:rPr>
            </w:pPr>
          </w:p>
          <w:p>
            <w:pPr>
              <w:spacing w:line="320" w:lineRule="exact"/>
              <w:rPr>
                <w:rFonts w:hint="eastAsia" w:ascii="方正仿宋_GBK" w:eastAsia="方正仿宋_GBK"/>
                <w:sz w:val="24"/>
              </w:rPr>
            </w:pPr>
            <w:r>
              <w:rPr>
                <w:rFonts w:hint="eastAsia" w:ascii="方正仿宋_GBK" w:eastAsia="方正仿宋_GBK" w:cs="宋体"/>
                <w:sz w:val="24"/>
              </w:rPr>
              <w:t>省减灾委办公室</w:t>
            </w:r>
          </w:p>
        </w:tc>
        <w:tc>
          <w:tcPr>
            <w:tcW w:w="1680"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省编办、省财政厅</w:t>
            </w:r>
          </w:p>
        </w:tc>
        <w:tc>
          <w:tcPr>
            <w:tcW w:w="829" w:type="dxa"/>
            <w:vAlign w:val="center"/>
          </w:tcPr>
          <w:p>
            <w:pPr>
              <w:spacing w:line="320" w:lineRule="exact"/>
              <w:jc w:val="center"/>
              <w:rPr>
                <w:rFonts w:hint="eastAsia" w:ascii="方正仿宋_GBK" w:eastAsia="方正仿宋_GBK" w:cs="宋体"/>
                <w:sz w:val="24"/>
              </w:rPr>
            </w:pPr>
            <w:r>
              <w:rPr>
                <w:rFonts w:hint="eastAsia" w:ascii="方正仿宋_GBK" w:eastAsia="方正仿宋_GBK" w:cs="宋体"/>
                <w:sz w:val="24"/>
              </w:rPr>
              <w:t>持续</w:t>
            </w:r>
          </w:p>
          <w:p>
            <w:pPr>
              <w:spacing w:line="320" w:lineRule="exact"/>
              <w:jc w:val="center"/>
              <w:rPr>
                <w:rFonts w:hint="eastAsia" w:ascii="方正仿宋_GBK" w:eastAsia="方正仿宋_GBK"/>
                <w:sz w:val="24"/>
              </w:rPr>
            </w:pPr>
            <w:r>
              <w:rPr>
                <w:rFonts w:hint="eastAsia" w:ascii="方正仿宋_GBK" w:eastAsia="方正仿宋_GBK" w:cs="宋体"/>
                <w:sz w:val="24"/>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92" w:hRule="atLeast"/>
          <w:jc w:val="center"/>
        </w:trPr>
        <w:tc>
          <w:tcPr>
            <w:tcW w:w="851" w:type="dxa"/>
            <w:vMerge w:val="continue"/>
            <w:shd w:val="clear" w:color="auto" w:fill="auto"/>
            <w:vAlign w:val="top"/>
          </w:tcPr>
          <w:p>
            <w:pPr>
              <w:spacing w:line="320" w:lineRule="exact"/>
              <w:rPr>
                <w:rFonts w:hint="eastAsia" w:ascii="方正仿宋_GBK" w:eastAsia="方正仿宋_GBK"/>
                <w:bCs/>
                <w:sz w:val="24"/>
              </w:rPr>
            </w:pPr>
          </w:p>
        </w:tc>
        <w:tc>
          <w:tcPr>
            <w:tcW w:w="5513" w:type="dxa"/>
            <w:vAlign w:val="center"/>
          </w:tcPr>
          <w:p>
            <w:pPr>
              <w:spacing w:line="320" w:lineRule="exact"/>
              <w:rPr>
                <w:rFonts w:hint="eastAsia" w:ascii="方正仿宋_GBK" w:eastAsia="方正仿宋_GBK"/>
                <w:sz w:val="24"/>
              </w:rPr>
            </w:pPr>
            <w:r>
              <w:rPr>
                <w:rFonts w:hint="eastAsia" w:ascii="方正仿宋_GBK" w:eastAsia="方正仿宋_GBK"/>
                <w:sz w:val="24"/>
              </w:rPr>
              <w:t>30.</w:t>
            </w:r>
            <w:r>
              <w:rPr>
                <w:rFonts w:hint="eastAsia" w:ascii="方正仿宋_GBK" w:eastAsia="方正仿宋_GBK" w:cs="宋体"/>
                <w:sz w:val="24"/>
              </w:rPr>
              <w:t>省减灾委专家委要加强能力建设，建立对专家委成员的遴选淘汰、激励支持、考核评价机制和专家委成员实地调研、独立研究、联合攻关、参与决策的工作机制，加快建成省减灾委的专家智库。</w:t>
            </w:r>
          </w:p>
        </w:tc>
        <w:tc>
          <w:tcPr>
            <w:tcW w:w="1187"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省减灾委办公室</w:t>
            </w:r>
          </w:p>
          <w:p>
            <w:pPr>
              <w:spacing w:line="320" w:lineRule="exact"/>
              <w:rPr>
                <w:rFonts w:hint="eastAsia" w:ascii="方正仿宋_GBK" w:eastAsia="方正仿宋_GBK"/>
                <w:sz w:val="24"/>
              </w:rPr>
            </w:pPr>
          </w:p>
        </w:tc>
        <w:tc>
          <w:tcPr>
            <w:tcW w:w="1680"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省减灾委专家委</w:t>
            </w:r>
          </w:p>
          <w:p>
            <w:pPr>
              <w:spacing w:line="320" w:lineRule="exact"/>
              <w:rPr>
                <w:rFonts w:hint="eastAsia" w:ascii="方正仿宋_GBK" w:eastAsia="方正仿宋_GBK"/>
                <w:sz w:val="24"/>
              </w:rPr>
            </w:pPr>
          </w:p>
        </w:tc>
        <w:tc>
          <w:tcPr>
            <w:tcW w:w="829" w:type="dxa"/>
            <w:vAlign w:val="center"/>
          </w:tcPr>
          <w:p>
            <w:pPr>
              <w:spacing w:line="320" w:lineRule="exact"/>
              <w:jc w:val="center"/>
              <w:rPr>
                <w:rFonts w:hint="eastAsia" w:ascii="方正仿宋_GBK" w:eastAsia="方正仿宋_GBK" w:cs="宋体"/>
                <w:sz w:val="24"/>
              </w:rPr>
            </w:pPr>
            <w:r>
              <w:rPr>
                <w:rFonts w:hint="eastAsia" w:ascii="方正仿宋_GBK" w:eastAsia="方正仿宋_GBK" w:cs="宋体"/>
                <w:sz w:val="24"/>
              </w:rPr>
              <w:t>持续</w:t>
            </w:r>
          </w:p>
          <w:p>
            <w:pPr>
              <w:spacing w:line="320" w:lineRule="exact"/>
              <w:jc w:val="center"/>
              <w:rPr>
                <w:rFonts w:hint="eastAsia" w:ascii="方正仿宋_GBK" w:eastAsia="方正仿宋_GBK"/>
                <w:sz w:val="24"/>
              </w:rPr>
            </w:pPr>
            <w:r>
              <w:rPr>
                <w:rFonts w:hint="eastAsia" w:ascii="方正仿宋_GBK" w:eastAsia="方正仿宋_GBK" w:cs="宋体"/>
                <w:sz w:val="24"/>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261" w:hRule="atLeast"/>
          <w:jc w:val="center"/>
        </w:trPr>
        <w:tc>
          <w:tcPr>
            <w:tcW w:w="851" w:type="dxa"/>
            <w:vMerge w:val="continue"/>
            <w:vAlign w:val="center"/>
          </w:tcPr>
          <w:p>
            <w:pPr>
              <w:spacing w:line="320" w:lineRule="exact"/>
              <w:rPr>
                <w:rFonts w:hint="eastAsia" w:ascii="方正黑体_GBK" w:eastAsia="方正黑体_GBK"/>
                <w:bCs/>
                <w:sz w:val="24"/>
              </w:rPr>
            </w:pPr>
          </w:p>
        </w:tc>
        <w:tc>
          <w:tcPr>
            <w:tcW w:w="5513" w:type="dxa"/>
            <w:vAlign w:val="center"/>
          </w:tcPr>
          <w:p>
            <w:pPr>
              <w:spacing w:line="320" w:lineRule="exact"/>
              <w:rPr>
                <w:rFonts w:hint="eastAsia" w:ascii="方正仿宋_GBK" w:eastAsia="方正仿宋_GBK"/>
                <w:sz w:val="24"/>
              </w:rPr>
            </w:pPr>
            <w:r>
              <w:rPr>
                <w:rFonts w:hint="eastAsia" w:ascii="方正仿宋_GBK" w:eastAsia="方正仿宋_GBK"/>
                <w:bCs/>
                <w:sz w:val="24"/>
              </w:rPr>
              <w:t>31.</w:t>
            </w:r>
            <w:r>
              <w:rPr>
                <w:rFonts w:hint="eastAsia" w:ascii="方正仿宋_GBK" w:eastAsia="方正仿宋_GBK" w:cs="宋体"/>
                <w:sz w:val="24"/>
              </w:rPr>
              <w:t>健全防灾减灾救灾资金多元投入机制，各级财政要安排防灾减灾救灾预算资金，支持开展灾害风险防范、风险调查与评估、基层减灾能力建设、科普宣传教育等防灾减灾相关工作。各级政府要加强对防灾减灾救灾资金的统筹，提高资金使用效益。</w:t>
            </w:r>
          </w:p>
        </w:tc>
        <w:tc>
          <w:tcPr>
            <w:tcW w:w="1187"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省民政厅</w:t>
            </w:r>
          </w:p>
        </w:tc>
        <w:tc>
          <w:tcPr>
            <w:tcW w:w="1680"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省财政厅、省发改委</w:t>
            </w:r>
          </w:p>
        </w:tc>
        <w:tc>
          <w:tcPr>
            <w:tcW w:w="829" w:type="dxa"/>
            <w:vAlign w:val="center"/>
          </w:tcPr>
          <w:p>
            <w:pPr>
              <w:spacing w:line="320" w:lineRule="exact"/>
              <w:jc w:val="center"/>
              <w:rPr>
                <w:rFonts w:hint="eastAsia" w:ascii="方正仿宋_GBK" w:eastAsia="方正仿宋_GBK" w:cs="宋体"/>
                <w:sz w:val="24"/>
              </w:rPr>
            </w:pPr>
            <w:r>
              <w:rPr>
                <w:rFonts w:hint="eastAsia" w:ascii="方正仿宋_GBK" w:eastAsia="方正仿宋_GBK" w:cs="宋体"/>
                <w:sz w:val="24"/>
              </w:rPr>
              <w:t>持续</w:t>
            </w:r>
          </w:p>
          <w:p>
            <w:pPr>
              <w:spacing w:line="320" w:lineRule="exact"/>
              <w:jc w:val="center"/>
              <w:rPr>
                <w:rFonts w:hint="eastAsia" w:ascii="方正仿宋_GBK" w:eastAsia="方正仿宋_GBK"/>
                <w:sz w:val="24"/>
              </w:rPr>
            </w:pPr>
            <w:r>
              <w:rPr>
                <w:rFonts w:hint="eastAsia" w:ascii="方正仿宋_GBK" w:eastAsia="方正仿宋_GBK" w:cs="宋体"/>
                <w:sz w:val="24"/>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6" w:hRule="atLeast"/>
          <w:jc w:val="center"/>
        </w:trPr>
        <w:tc>
          <w:tcPr>
            <w:tcW w:w="851" w:type="dxa"/>
            <w:vMerge w:val="continue"/>
            <w:vAlign w:val="top"/>
          </w:tcPr>
          <w:p>
            <w:pPr>
              <w:spacing w:line="320" w:lineRule="exact"/>
              <w:rPr>
                <w:rFonts w:hint="eastAsia" w:ascii="方正仿宋_GBK" w:eastAsia="方正仿宋_GBK"/>
                <w:bCs/>
                <w:sz w:val="24"/>
              </w:rPr>
            </w:pPr>
          </w:p>
        </w:tc>
        <w:tc>
          <w:tcPr>
            <w:tcW w:w="5513" w:type="dxa"/>
            <w:vAlign w:val="center"/>
          </w:tcPr>
          <w:p>
            <w:pPr>
              <w:spacing w:line="320" w:lineRule="exact"/>
              <w:rPr>
                <w:rFonts w:hint="eastAsia" w:ascii="方正仿宋_GBK" w:eastAsia="方正仿宋_GBK"/>
                <w:sz w:val="24"/>
              </w:rPr>
            </w:pPr>
            <w:r>
              <w:rPr>
                <w:rFonts w:hint="eastAsia" w:ascii="方正仿宋_GBK" w:eastAsia="方正仿宋_GBK"/>
                <w:bCs/>
                <w:sz w:val="24"/>
              </w:rPr>
              <w:t>32.</w:t>
            </w:r>
            <w:r>
              <w:rPr>
                <w:rFonts w:hint="eastAsia" w:ascii="方正仿宋_GBK" w:eastAsia="方正仿宋_GBK" w:cs="宋体"/>
                <w:sz w:val="24"/>
              </w:rPr>
              <w:t>推进省、市州两级人大常委会将防灾减灾救灾体制机制改革成果法制化。</w:t>
            </w:r>
          </w:p>
        </w:tc>
        <w:tc>
          <w:tcPr>
            <w:tcW w:w="1187"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省民政厅</w:t>
            </w:r>
          </w:p>
        </w:tc>
        <w:tc>
          <w:tcPr>
            <w:tcW w:w="1680"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省政府法制办</w:t>
            </w:r>
          </w:p>
        </w:tc>
        <w:tc>
          <w:tcPr>
            <w:tcW w:w="829" w:type="dxa"/>
            <w:vAlign w:val="center"/>
          </w:tcPr>
          <w:p>
            <w:pPr>
              <w:spacing w:line="320" w:lineRule="exact"/>
              <w:jc w:val="center"/>
              <w:rPr>
                <w:rFonts w:hint="eastAsia" w:ascii="方正仿宋_GBK" w:eastAsia="方正仿宋_GBK"/>
                <w:sz w:val="24"/>
              </w:rPr>
            </w:pPr>
            <w:r>
              <w:rPr>
                <w:rFonts w:hint="eastAsia" w:ascii="方正仿宋_GBK" w:eastAsia="方正仿宋_GBK" w:cs="宋体"/>
                <w:sz w:val="24"/>
              </w:rPr>
              <w:t>持续</w:t>
            </w:r>
          </w:p>
          <w:p>
            <w:pPr>
              <w:spacing w:line="320" w:lineRule="exact"/>
              <w:jc w:val="center"/>
              <w:rPr>
                <w:rFonts w:hint="eastAsia" w:ascii="方正仿宋_GBK" w:eastAsia="方正仿宋_GBK"/>
                <w:sz w:val="24"/>
              </w:rPr>
            </w:pPr>
            <w:r>
              <w:rPr>
                <w:rFonts w:hint="eastAsia" w:ascii="方正仿宋_GBK" w:eastAsia="方正仿宋_GBK" w:cs="宋体"/>
                <w:sz w:val="24"/>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239" w:hRule="atLeast"/>
          <w:jc w:val="center"/>
        </w:trPr>
        <w:tc>
          <w:tcPr>
            <w:tcW w:w="851" w:type="dxa"/>
            <w:vMerge w:val="continue"/>
            <w:vAlign w:val="top"/>
          </w:tcPr>
          <w:p>
            <w:pPr>
              <w:spacing w:line="320" w:lineRule="exact"/>
              <w:rPr>
                <w:rFonts w:hint="eastAsia" w:ascii="方正仿宋_GBK" w:eastAsia="方正仿宋_GBK"/>
                <w:bCs/>
                <w:sz w:val="24"/>
              </w:rPr>
            </w:pPr>
          </w:p>
        </w:tc>
        <w:tc>
          <w:tcPr>
            <w:tcW w:w="5513" w:type="dxa"/>
            <w:vAlign w:val="center"/>
          </w:tcPr>
          <w:p>
            <w:pPr>
              <w:spacing w:line="320" w:lineRule="exact"/>
              <w:rPr>
                <w:rFonts w:hint="eastAsia" w:ascii="方正仿宋_GBK" w:eastAsia="方正仿宋_GBK"/>
                <w:sz w:val="24"/>
              </w:rPr>
            </w:pPr>
            <w:r>
              <w:rPr>
                <w:rFonts w:hint="eastAsia" w:ascii="方正仿宋_GBK" w:eastAsia="方正仿宋_GBK"/>
                <w:sz w:val="24"/>
              </w:rPr>
              <w:t>33.</w:t>
            </w:r>
            <w:r>
              <w:rPr>
                <w:rFonts w:hint="eastAsia" w:ascii="方正仿宋_GBK" w:eastAsia="方正仿宋_GBK" w:cs="宋体"/>
                <w:sz w:val="24"/>
              </w:rPr>
              <w:t>完善灾害监测预警、应急装备、紧急救援、转移安置、生活救助、医疗救治、卫生防疫、恢复重建、社会参与等环节规章制度。完善自然灾害应急预案体系和标准体系。</w:t>
            </w:r>
          </w:p>
        </w:tc>
        <w:tc>
          <w:tcPr>
            <w:tcW w:w="1187"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省民政厅</w:t>
            </w:r>
          </w:p>
        </w:tc>
        <w:tc>
          <w:tcPr>
            <w:tcW w:w="1680"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省住房城乡建设厅、省卫生计生委、省质监局</w:t>
            </w:r>
          </w:p>
        </w:tc>
        <w:tc>
          <w:tcPr>
            <w:tcW w:w="829" w:type="dxa"/>
            <w:vAlign w:val="center"/>
          </w:tcPr>
          <w:p>
            <w:pPr>
              <w:spacing w:line="320" w:lineRule="exact"/>
              <w:rPr>
                <w:rFonts w:hint="eastAsia" w:ascii="方正仿宋_GBK" w:eastAsia="方正仿宋_GBK"/>
                <w:sz w:val="24"/>
              </w:rPr>
            </w:pPr>
            <w:r>
              <w:rPr>
                <w:rFonts w:hint="eastAsia" w:ascii="方正仿宋_GBK" w:eastAsia="方正仿宋_GBK"/>
                <w:sz w:val="24"/>
              </w:rPr>
              <w:t>2018</w:t>
            </w:r>
            <w:r>
              <w:rPr>
                <w:rFonts w:hint="eastAsia" w:ascii="方正仿宋_GBK" w:eastAsia="方正仿宋_GBK" w:cs="宋体"/>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34" w:hRule="atLeast"/>
          <w:jc w:val="center"/>
        </w:trPr>
        <w:tc>
          <w:tcPr>
            <w:tcW w:w="851" w:type="dxa"/>
            <w:vMerge w:val="continue"/>
            <w:vAlign w:val="top"/>
          </w:tcPr>
          <w:p>
            <w:pPr>
              <w:spacing w:line="320" w:lineRule="exact"/>
              <w:rPr>
                <w:rFonts w:hint="eastAsia" w:ascii="方正仿宋_GBK" w:eastAsia="方正仿宋_GBK"/>
                <w:bCs/>
                <w:sz w:val="24"/>
              </w:rPr>
            </w:pPr>
          </w:p>
        </w:tc>
        <w:tc>
          <w:tcPr>
            <w:tcW w:w="5513" w:type="dxa"/>
            <w:vAlign w:val="center"/>
          </w:tcPr>
          <w:p>
            <w:pPr>
              <w:spacing w:line="320" w:lineRule="exact"/>
              <w:rPr>
                <w:rFonts w:hint="eastAsia" w:ascii="方正仿宋_GBK" w:eastAsia="方正仿宋_GBK"/>
                <w:sz w:val="24"/>
              </w:rPr>
            </w:pPr>
            <w:r>
              <w:rPr>
                <w:rFonts w:hint="eastAsia" w:ascii="方正仿宋_GBK" w:eastAsia="方正仿宋_GBK"/>
                <w:sz w:val="24"/>
              </w:rPr>
              <w:t>34.</w:t>
            </w:r>
            <w:r>
              <w:rPr>
                <w:rFonts w:hint="eastAsia" w:ascii="方正仿宋_GBK" w:eastAsia="方正仿宋_GBK" w:cs="宋体"/>
                <w:sz w:val="24"/>
              </w:rPr>
              <w:t>明确政府、学校、医院、部队、企业、社会组织和公众等在防灾减灾救灾工作中的责任和义务，对防灾减灾救灾工作中玩忽职守造成损失和重大社会影响的，依法依纪追究当事方的责任。</w:t>
            </w:r>
          </w:p>
        </w:tc>
        <w:tc>
          <w:tcPr>
            <w:tcW w:w="1187"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省民政厅</w:t>
            </w:r>
          </w:p>
        </w:tc>
        <w:tc>
          <w:tcPr>
            <w:tcW w:w="1680" w:type="dxa"/>
            <w:vAlign w:val="center"/>
          </w:tcPr>
          <w:p>
            <w:pPr>
              <w:spacing w:line="320" w:lineRule="exact"/>
              <w:rPr>
                <w:rFonts w:hint="eastAsia" w:ascii="方正仿宋_GBK" w:eastAsia="方正仿宋_GBK"/>
                <w:sz w:val="24"/>
              </w:rPr>
            </w:pPr>
            <w:r>
              <w:rPr>
                <w:rFonts w:hint="eastAsia" w:ascii="方正仿宋_GBK" w:eastAsia="方正仿宋_GBK" w:cs="宋体"/>
                <w:sz w:val="24"/>
              </w:rPr>
              <w:t>省审计厅、省监察厅</w:t>
            </w:r>
          </w:p>
        </w:tc>
        <w:tc>
          <w:tcPr>
            <w:tcW w:w="829" w:type="dxa"/>
            <w:vAlign w:val="center"/>
          </w:tcPr>
          <w:p>
            <w:pPr>
              <w:spacing w:line="320" w:lineRule="exact"/>
              <w:jc w:val="center"/>
              <w:rPr>
                <w:rFonts w:hint="eastAsia" w:ascii="方正仿宋_GBK" w:eastAsia="方正仿宋_GBK"/>
                <w:sz w:val="24"/>
              </w:rPr>
            </w:pPr>
            <w:r>
              <w:rPr>
                <w:rFonts w:hint="eastAsia" w:ascii="方正仿宋_GBK" w:eastAsia="方正仿宋_GBK" w:cs="宋体"/>
                <w:sz w:val="24"/>
              </w:rPr>
              <w:t>持续</w:t>
            </w:r>
          </w:p>
          <w:p>
            <w:pPr>
              <w:spacing w:line="320" w:lineRule="exact"/>
              <w:jc w:val="center"/>
              <w:rPr>
                <w:rFonts w:hint="eastAsia" w:ascii="方正仿宋_GBK" w:eastAsia="方正仿宋_GBK"/>
                <w:sz w:val="24"/>
              </w:rPr>
            </w:pPr>
            <w:r>
              <w:rPr>
                <w:rFonts w:hint="eastAsia" w:ascii="方正仿宋_GBK" w:eastAsia="方正仿宋_GBK" w:cs="宋体"/>
                <w:sz w:val="24"/>
              </w:rPr>
              <w:t>推进</w:t>
            </w:r>
          </w:p>
        </w:tc>
      </w:tr>
    </w:tbl>
    <w:p>
      <w:pPr>
        <w:spacing w:line="600" w:lineRule="exact"/>
        <w:ind w:firstLine="680" w:firstLineChars="200"/>
        <w:rPr>
          <w:rFonts w:hint="eastAsia" w:ascii="方正仿宋_GBK" w:hAnsi="Arial" w:eastAsia="方正仿宋_GBK" w:cs="Arial"/>
          <w:color w:val="000000"/>
          <w:sz w:val="34"/>
          <w:szCs w:val="34"/>
        </w:rPr>
      </w:pPr>
    </w:p>
    <w:p>
      <w:pPr>
        <w:spacing w:line="600" w:lineRule="exact"/>
        <w:ind w:firstLine="680" w:firstLineChars="200"/>
        <w:rPr>
          <w:rFonts w:hint="eastAsia" w:ascii="方正仿宋_GBK" w:hAnsi="Arial" w:eastAsia="方正仿宋_GBK" w:cs="Arial"/>
          <w:color w:val="000000"/>
          <w:sz w:val="34"/>
          <w:szCs w:val="34"/>
        </w:rPr>
      </w:pPr>
    </w:p>
    <w:p>
      <w:pPr>
        <w:spacing w:line="600" w:lineRule="exact"/>
        <w:ind w:firstLine="680" w:firstLineChars="200"/>
        <w:rPr>
          <w:rFonts w:hint="eastAsia" w:ascii="方正仿宋_GBK" w:hAnsi="Arial" w:eastAsia="方正仿宋_GBK" w:cs="Arial"/>
          <w:color w:val="000000"/>
          <w:sz w:val="34"/>
          <w:szCs w:val="34"/>
        </w:rPr>
      </w:pPr>
    </w:p>
    <w:p>
      <w:pPr>
        <w:spacing w:line="600" w:lineRule="exact"/>
        <w:ind w:firstLine="680" w:firstLineChars="200"/>
        <w:rPr>
          <w:rFonts w:hint="eastAsia" w:ascii="方正仿宋_GBK" w:hAnsi="Arial" w:eastAsia="方正仿宋_GBK" w:cs="Arial"/>
          <w:color w:val="000000"/>
          <w:sz w:val="34"/>
          <w:szCs w:val="34"/>
        </w:rPr>
      </w:pPr>
    </w:p>
    <w:p>
      <w:pPr>
        <w:spacing w:line="600" w:lineRule="exact"/>
        <w:ind w:firstLine="680" w:firstLineChars="200"/>
        <w:rPr>
          <w:rFonts w:hint="eastAsia" w:ascii="方正仿宋_GBK" w:hAnsi="Arial" w:eastAsia="方正仿宋_GBK" w:cs="Arial"/>
          <w:color w:val="000000"/>
          <w:sz w:val="34"/>
          <w:szCs w:val="34"/>
        </w:rPr>
      </w:pPr>
    </w:p>
    <w:p>
      <w:pPr>
        <w:spacing w:line="600" w:lineRule="exact"/>
        <w:ind w:firstLine="680" w:firstLineChars="200"/>
        <w:rPr>
          <w:rFonts w:hint="eastAsia" w:ascii="方正仿宋_GBK" w:hAnsi="Arial" w:eastAsia="方正仿宋_GBK" w:cs="Arial"/>
          <w:color w:val="000000"/>
          <w:sz w:val="34"/>
          <w:szCs w:val="34"/>
        </w:rPr>
      </w:pPr>
    </w:p>
    <w:p>
      <w:pPr>
        <w:pBdr>
          <w:top w:val="single" w:color="auto" w:sz="4" w:space="1"/>
          <w:bottom w:val="single" w:color="auto" w:sz="4" w:space="1"/>
          <w:between w:val="single" w:color="auto" w:sz="4" w:space="1"/>
        </w:pBdr>
        <w:spacing w:line="600" w:lineRule="exact"/>
        <w:rPr>
          <w:rFonts w:hint="eastAsia" w:ascii="方正仿宋_GBK" w:eastAsia="方正仿宋_GBK"/>
          <w:sz w:val="34"/>
          <w:szCs w:val="34"/>
        </w:rPr>
      </w:pPr>
      <w:r>
        <w:rPr>
          <w:rFonts w:hint="eastAsia" w:ascii="方正仿宋_GBK" w:eastAsia="方正仿宋_GBK"/>
          <w:spacing w:val="60"/>
          <w:sz w:val="32"/>
          <w:szCs w:val="32"/>
        </w:rPr>
        <w:t>中共湖南省委办公厅</w:t>
      </w:r>
      <w:r>
        <w:rPr>
          <w:rFonts w:hint="eastAsia" w:ascii="方正仿宋_GBK" w:eastAsia="方正仿宋_GBK"/>
          <w:sz w:val="32"/>
          <w:szCs w:val="32"/>
        </w:rPr>
        <w:t xml:space="preserve">          2018年1月22日印发</w:t>
      </w:r>
    </w:p>
    <w:p/>
    <w:sectPr>
      <w:footerReference r:id="rId3" w:type="default"/>
      <w:footerReference r:id="rId4" w:type="even"/>
      <w:pgSz w:w="11906" w:h="16838"/>
      <w:pgMar w:top="1440" w:right="1531" w:bottom="1440" w:left="153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ascii="宋体" w:hAnsi="宋体"/>
        <w:sz w:val="28"/>
        <w:szCs w:val="28"/>
      </w:rPr>
    </w:pPr>
    <w:r>
      <w:rPr>
        <w:rStyle w:val="5"/>
        <w:rFonts w:hint="eastAsia" w:ascii="宋体" w:hAnsi="宋体"/>
        <w:sz w:val="28"/>
        <w:szCs w:val="28"/>
      </w:rPr>
      <w:t xml:space="preserve">— </w:t>
    </w:r>
    <w:r>
      <w:rPr>
        <w:rStyle w:val="5"/>
        <w:rFonts w:ascii="宋体" w:hAnsi="宋体"/>
        <w:sz w:val="28"/>
        <w:szCs w:val="28"/>
      </w:rPr>
      <w:fldChar w:fldCharType="begin"/>
    </w:r>
    <w:r>
      <w:rPr>
        <w:rStyle w:val="5"/>
        <w:rFonts w:ascii="宋体" w:hAnsi="宋体"/>
        <w:sz w:val="28"/>
        <w:szCs w:val="28"/>
      </w:rPr>
      <w:instrText xml:space="preserve">PAGE  </w:instrText>
    </w:r>
    <w:r>
      <w:rPr>
        <w:rStyle w:val="5"/>
        <w:rFonts w:ascii="宋体" w:hAnsi="宋体"/>
        <w:sz w:val="28"/>
        <w:szCs w:val="28"/>
      </w:rPr>
      <w:fldChar w:fldCharType="separate"/>
    </w:r>
    <w:r>
      <w:rPr>
        <w:rStyle w:val="5"/>
        <w:rFonts w:ascii="宋体" w:hAnsi="宋体"/>
        <w:sz w:val="28"/>
        <w:szCs w:val="28"/>
      </w:rPr>
      <w:t>18</w:t>
    </w:r>
    <w:r>
      <w:rPr>
        <w:rStyle w:val="5"/>
        <w:rFonts w:ascii="宋体" w:hAnsi="宋体"/>
        <w:sz w:val="28"/>
        <w:szCs w:val="28"/>
      </w:rPr>
      <w:fldChar w:fldCharType="end"/>
    </w:r>
    <w:r>
      <w:rPr>
        <w:rStyle w:val="5"/>
        <w:rFonts w:hint="eastAsia" w:ascii="宋体" w:hAnsi="宋体"/>
        <w:sz w:val="28"/>
        <w:szCs w:val="28"/>
      </w:rPr>
      <w:t xml:space="preserve"> —</w:t>
    </w:r>
  </w:p>
  <w:p>
    <w:pPr>
      <w:pStyle w:val="2"/>
      <w:spacing w:line="240" w:lineRule="exact"/>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6354C3"/>
    <w:rsid w:val="156354C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pPr>
    <w:rPr>
      <w:rFonts w:ascii="宋体"/>
      <w:sz w:val="24"/>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9099\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2018-08-31T09:15:00Z</dcterms:created>
  <dc:creator>39099</dc:creator>
  <cp:lastModifiedBy>39099</cp:lastModifiedBy>
  <dcterms:modified xsi:type="dcterms:W3CDTF">2018-08-31T09:16:09Z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